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  <w:spacing w:after="120"/>
      </w:pPr>
      <w:r>
        <w:rPr>
          <w:b/>
          <w:i w:val="0"/>
          <w:color w:val="B18B51"/>
          <w:sz w:val="16"/>
        </w:rPr>
        <w:t>MATERIAL 01  |  VERSÃO 1.0  |  OUTUBRO DE 2026</w:t>
      </w:r>
    </w:p>
    <w:p>
      <w:pPr>
        <w:pStyle w:val="Title"/>
      </w:pPr>
      <w:r>
        <w:t>Checklist de compra segura de moedas antigas</w:t>
      </w:r>
    </w:p>
    <w:p>
      <w:r>
        <w:rPr>
          <w:b w:val="0"/>
          <w:i w:val="0"/>
          <w:color w:val="53616A"/>
          <w:sz w:val="20"/>
        </w:rPr>
        <w:t>Um roteiro de verificação para colecionadores de moedas romanas, gregas, bizantinas e medievais.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2F4"/>
            <w:tcMar>
              <w:top w:w="140" w:type="dxa"/>
              <w:bottom w:w="110" w:type="dxa"/>
              <w:left w:w="200" w:type="dxa"/>
              <w:right w:w="200" w:type="dxa"/>
            </w:tcMar>
          </w:tcPr>
          <w:p>
            <w:r>
              <w:rPr>
                <w:b w:val="0"/>
                <w:i w:val="0"/>
                <w:color w:val="203848"/>
                <w:sz w:val="17"/>
              </w:rPr>
              <w:t>Use este documento antes de concluir uma aquisição. Marque os pontos conferidos, registre o que não foi possível verificar e consulte um especialista quando houver dúvidas significativas. O checklist não é certificado de autenticidade.</w:t>
            </w:r>
          </w:p>
        </w:tc>
      </w:tr>
    </w:tbl>
    <w:p>
      <w:pPr>
        <w:spacing w:after="0"/>
      </w:pPr>
    </w:p>
    <w:p>
      <w:pPr>
        <w:pStyle w:val="Heading1"/>
      </w:pPr>
      <w:r>
        <w:t>Identificação da peça analisada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MOEDA / AUTORIDADE ATRIBUÍDA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CÓDIGO OU NÚMERO DO LOTE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</w:tr>
      <w:tr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VENDEDOR / PLATAFORMA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DATA DE AVALIAÇÃO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</w:tr>
    </w:tbl>
    <w:p>
      <w:pPr>
        <w:spacing w:after="0"/>
      </w:pPr>
    </w:p>
    <w:p>
      <w:pPr>
        <w:pStyle w:val="Heading2"/>
      </w:pPr>
      <w:r>
        <w:t>A. O que efetivamente está sendo oferecido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9184"/>
      </w:tblGrid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As fotografias apresentam o exemplar específico que será entregue, e não somente uma imagem ilustrativa.</w:t>
            </w:r>
          </w:p>
        </w:tc>
      </w:tr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As duas faces estão legíveis nas fotografias, na medida em que o estado da moeda permite.</w:t>
            </w:r>
          </w:p>
        </w:tc>
      </w:tr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As fotografias incluem, quando pertinente, bordo e áreas de superfície que mereçam exame.</w:t>
            </w:r>
          </w:p>
        </w:tc>
      </w:tr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A descrição distingue fatos observáveis de hipóteses de identificação.</w:t>
            </w:r>
          </w:p>
        </w:tc>
      </w:tr>
    </w:tbl>
    <w:p>
      <w:pPr>
        <w:spacing w:after="0"/>
      </w:pPr>
    </w:p>
    <w:p>
      <w:pPr>
        <w:pStyle w:val="Heading2"/>
      </w:pPr>
      <w:r>
        <w:t>B. Coerência numismática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9184"/>
      </w:tblGrid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Autoridade, cidade, período ou tradição monetária foram identificados, ou a dúvida foi declarada.</w:t>
            </w:r>
          </w:p>
        </w:tc>
      </w:tr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O metal, o peso e o diâmetro informados são compatíveis com a atribuição proposta, consideradas as variações conhecidas.</w:t>
            </w:r>
          </w:p>
        </w:tc>
      </w:tr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As legendas, retratos e símbolos visíveis foram confrontados com referências numismáticas confiáveis.</w:t>
            </w:r>
          </w:p>
        </w:tc>
      </w:tr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Quando há referência catalográfica, o tipo descrito é compatível com ela. Correspondência temática não equivale a identidade de variante.</w:t>
            </w:r>
          </w:p>
        </w:tc>
      </w:tr>
    </w:tbl>
    <w:p>
      <w:pPr>
        <w:spacing w:after="0"/>
      </w:pPr>
    </w:p>
    <w:p>
      <w:pPr>
        <w:pStyle w:val="Heading2"/>
      </w:pPr>
      <w:r>
        <w:t>C. Autenticidade e estado de conservação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9184"/>
      </w:tblGrid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Foram examinados, quando visíveis, superfície, borda, relevo, estilo e eventuais indícios de fundição ou intervenção.</w:t>
            </w:r>
          </w:p>
        </w:tc>
      </w:tr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Há informação clara sobre restaurações, limpeza, perfurações, fissuras ou alterações conhecidas.</w:t>
            </w:r>
          </w:p>
        </w:tc>
      </w:tr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A pátina foi considerada como parte da superfície histórica. Não houve recomendação de limpeza abrasiva para avaliar a peça.</w:t>
            </w:r>
          </w:p>
        </w:tc>
      </w:tr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Quando há sinais relevantes ou insuficiência de evidências, a compra fica condicionada a avaliação adicional.</w:t>
            </w:r>
          </w:p>
        </w:tc>
      </w:tr>
    </w:tbl>
    <w:p>
      <w:pPr>
        <w:spacing w:after="0"/>
      </w:pPr>
    </w:p>
    <w:p>
      <w:pPr>
        <w:pStyle w:val="Heading2"/>
      </w:pPr>
      <w:r>
        <w:t>D. Procedência e condições da compra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9184"/>
      </w:tblGrid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Registrei a fonte da moeda, a data do anúncio e os dados disponíveis sobre seu histórico anterior.</w:t>
            </w:r>
          </w:p>
        </w:tc>
      </w:tr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Verifiquei reputação, identificação e meios de contato do vendedor.</w:t>
            </w:r>
          </w:p>
        </w:tc>
      </w:tr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Conferi preço total, frete, forma de pagamento, prazos e condições de devolução.</w:t>
            </w:r>
          </w:p>
        </w:tc>
      </w:tr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Conservarei anúncio, recibo, imagens e conversas relevantes após a aquisição.</w:t>
            </w:r>
          </w:p>
        </w:tc>
      </w:tr>
    </w:tbl>
    <w:p>
      <w:pPr>
        <w:spacing w:after="0"/>
      </w:pPr>
    </w:p>
    <w:p>
      <w:pPr>
        <w:pStyle w:val="Heading1"/>
      </w:pPr>
      <w:r>
        <w:t>Decisão fundamentada</w:t>
      </w:r>
    </w:p>
    <w:p>
      <w:r>
        <w:rPr>
          <w:b w:val="0"/>
          <w:i w:val="0"/>
        </w:rPr>
        <w:t>Resultado:  ☐ Documentação suficiente para minha decisão   ☐ Preciso solicitar mais dados   ☐ Não prosseguir neste momento</w:t>
      </w:r>
    </w:p>
    <w:p>
      <w:r>
        <w:rPr>
          <w:b w:val="0"/>
          <w:i w:val="0"/>
        </w:rPr>
        <w:t>Principais dúvidas ou documentos pendentes:</w:t>
      </w:r>
    </w:p>
    <w:p>
      <w:pPr>
        <w:spacing w:after="20"/>
      </w:pPr>
      <w:r>
        <w:rPr>
          <w:b w:val="0"/>
          <w:i w:val="0"/>
          <w:color w:val="A7B3B9"/>
          <w:sz w:val="16"/>
        </w:rPr>
        <w:t>_________________________________________________________________________________________________</w:t>
      </w:r>
    </w:p>
    <w:p>
      <w:pPr>
        <w:spacing w:after="20"/>
      </w:pPr>
      <w:r>
        <w:rPr>
          <w:b w:val="0"/>
          <w:i w:val="0"/>
          <w:color w:val="A7B3B9"/>
          <w:sz w:val="16"/>
        </w:rPr>
        <w:t>_________________________________________________________________________________________________</w:t>
      </w:r>
    </w:p>
    <w:p>
      <w:r>
        <w:rPr>
          <w:b w:val="0"/>
          <w:i w:val="0"/>
        </w:rPr>
        <w:t>Nota técnica: ausência de sinais aparentes de falsificação não constitui prova de autenticidade. Uma fotografia, medida isolada ou correspondência de catálogo também não permitem conclusão definitiva. Procedência é o histórico documentado do exemplar, não apenas o local da compra.</w:t>
      </w:r>
    </w:p>
    <w:p>
      <w:pPr>
        <w:pStyle w:val="Heading1"/>
      </w:pPr>
      <w:r>
        <w:t>Como interpretar as respostas</w:t>
      </w:r>
    </w:p>
    <w:p>
      <w:r>
        <w:rPr>
          <w:b w:val="0"/>
          <w:i w:val="0"/>
        </w:rPr>
        <w:t>A verificação é suficiente somente para a decisão pessoal de compra, e não para certificar autenticidade ou procedência. Quando a moeda apresentar superfície alterada, fotografias insuficientes ou referência incompatível, solicite novos elementos antes de concluir a operação.</w:t>
      </w:r>
    </w:p>
    <w:p>
      <w:r>
        <w:rPr>
          <w:b w:val="0"/>
          <w:i w:val="0"/>
        </w:rPr>
        <w:t>Exemplo de leitura responsável: uma emissão provincial de Pérgamo pode ser atribuída à série com representações do Senado e de Roma, sem que o desgaste permita identificar uma variante específica do RPC. A indicação de uma família de tipos não autoriza registrar, por presunção, um número único de catálogo.</w:t>
      </w:r>
    </w:p>
    <w:p>
      <w:pPr>
        <w:pStyle w:val="Heading1"/>
      </w:pPr>
      <w:r>
        <w:t>Perguntas práticas para enviar ao vendedor</w:t>
      </w:r>
    </w:p>
    <w:p>
      <w:pPr>
        <w:pStyle w:val="ListBullet"/>
      </w:pPr>
      <w:r>
        <w:rPr>
          <w:b w:val="0"/>
          <w:i w:val="0"/>
        </w:rPr>
        <w:t>As fotografias mostram exatamente o exemplar à venda, inclusive eventuais marcas e defeitos?</w:t>
      </w:r>
    </w:p>
    <w:p>
      <w:pPr>
        <w:pStyle w:val="ListBullet"/>
      </w:pPr>
      <w:r>
        <w:rPr>
          <w:b w:val="0"/>
          <w:i w:val="0"/>
        </w:rPr>
        <w:t>O peso informado foi aferido neste exemplar e a balança estava calibrada?</w:t>
      </w:r>
    </w:p>
    <w:p>
      <w:pPr>
        <w:pStyle w:val="ListBullet"/>
      </w:pPr>
      <w:r>
        <w:rPr>
          <w:b w:val="0"/>
          <w:i w:val="0"/>
        </w:rPr>
        <w:t>A numeração catalográfica identifica uma variante determinada ou apenas um grupo semelhante?</w:t>
      </w:r>
    </w:p>
    <w:p>
      <w:pPr>
        <w:pStyle w:val="ListBullet"/>
      </w:pPr>
      <w:r>
        <w:rPr>
          <w:b w:val="0"/>
          <w:i w:val="0"/>
        </w:rPr>
        <w:t>Existe documentação anterior da peça que possa ser fornecida?</w:t>
      </w:r>
    </w:p>
    <w:p>
      <w:pPr>
        <w:pStyle w:val="ListBullet"/>
      </w:pPr>
      <w:r>
        <w:rPr>
          <w:b w:val="0"/>
          <w:i w:val="0"/>
        </w:rPr>
        <w:t>Há alguma intervenção, reparo ou tratamento de conservação conhecido?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277"/>
        <w:gridCol w:w="1361"/>
      </w:tblGrid>
      <w:tr>
        <w:tc>
          <w:tcPr>
            <w:tcW w:type="dxa" w:w="4819"/>
            <w:shd w:fill="EEF2F4"/>
            <w:tcMar>
              <w:top w:w="145" w:type="dxa"/>
              <w:bottom w:w="145" w:type="dxa"/>
              <w:left w:w="180" w:type="dxa"/>
              <w:right w:w="120" w:type="dxa"/>
            </w:tcMar>
          </w:tcPr>
          <w:p>
            <w:r>
              <w:rPr>
                <w:b/>
                <w:i w:val="0"/>
                <w:color w:val="203848"/>
                <w:sz w:val="16"/>
              </w:rPr>
              <w:t>CONTINUE SUA PESQUISA NA TH NUMISMÁTICA</w:t>
            </w:r>
          </w:p>
          <w:p>
            <w:pPr>
              <w:spacing w:after="60"/>
            </w:pPr>
            <w:r>
              <w:rPr>
                <w:b w:val="0"/>
                <w:i w:val="0"/>
                <w:color w:val="53616A"/>
                <w:sz w:val="16"/>
              </w:rPr>
              <w:t>Consulte a documentação pública de moedas romanas, gregas e bizantinas e observe como a TH registra exemplares, dimensões, atribuições e incertezas.</w:t>
            </w:r>
          </w:p>
          <w:p>
            <w:hyperlink r:id="rId11">
              <w:r>
                <w:rPr>
                  <w:color w:val="1C6881"/>
                  <w:u w:val="single"/>
                </w:rPr>
                <w:t>Conheça as moedas disponíveis</w:t>
              </w:r>
            </w:hyperlink>
            <w:r>
              <w:rPr>
                <w:b w:val="0"/>
                <w:i w:val="0"/>
                <w:color w:val="53616A"/>
                <w:sz w:val="16"/>
              </w:rPr>
              <w:t xml:space="preserve">  |  </w:t>
            </w:r>
            <w:hyperlink r:id="rId12">
              <w:r>
                <w:rPr>
                  <w:color w:val="1C6881"/>
                  <w:u w:val="single"/>
                </w:rPr>
                <w:t>Acervo Digital TH</w:t>
              </w:r>
            </w:hyperlink>
          </w:p>
        </w:tc>
        <w:tc>
          <w:tcPr>
            <w:tcW w:type="dxa" w:w="4819"/>
            <w:vAlign w:val="center"/>
          </w:tcPr>
          <w:p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catalogo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p>
      <w:pPr>
        <w:pStyle w:val="Heading1"/>
      </w:pPr>
      <w:r>
        <w:t>Fontes para aprofundamento</w:t>
      </w:r>
    </w:p>
    <w:p>
      <w:pPr>
        <w:spacing w:after="60"/>
      </w:pPr>
      <w:r>
        <w:rPr>
          <w:b w:val="0"/>
          <w:i w:val="0"/>
          <w:color w:val="53616A"/>
          <w:sz w:val="16"/>
        </w:rPr>
        <w:t xml:space="preserve">TH Numismática. Jornada do Colecionador. </w:t>
      </w:r>
      <w:hyperlink r:id="rId14">
        <w:r>
          <w:rPr>
            <w:color w:val="1C6881"/>
            <w:u w:val="single"/>
          </w:rPr>
          <w:t>https://thnumismatica.com.br/jornada</w:t>
        </w:r>
      </w:hyperlink>
    </w:p>
    <w:p>
      <w:pPr>
        <w:spacing w:after="60"/>
      </w:pPr>
      <w:r>
        <w:rPr>
          <w:b w:val="0"/>
          <w:i w:val="0"/>
          <w:color w:val="53616A"/>
          <w:sz w:val="16"/>
        </w:rPr>
        <w:t xml:space="preserve">TH Numismática. Acervo Digital. </w:t>
      </w:r>
      <w:hyperlink r:id="rId12">
        <w:r>
          <w:rPr>
            <w:color w:val="1C6881"/>
            <w:u w:val="single"/>
          </w:rPr>
          <w:t>https://thnumismatica.com.br/acervo</w:t>
        </w:r>
      </w:hyperlink>
    </w:p>
    <w:p>
      <w:pPr>
        <w:spacing w:after="60"/>
      </w:pPr>
      <w:r>
        <w:rPr>
          <w:b w:val="0"/>
          <w:i w:val="0"/>
          <w:color w:val="53616A"/>
          <w:sz w:val="16"/>
        </w:rPr>
        <w:t xml:space="preserve">American Numismatic Association. Coin Collecting FAQs. </w:t>
      </w:r>
      <w:hyperlink r:id="rId15">
        <w:r>
          <w:rPr>
            <w:color w:val="1C6881"/>
            <w:u w:val="single"/>
          </w:rPr>
          <w:t>https://www.money.org/FAQ/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134" w:bottom="1077" w:left="1134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3616A"/>
        <w:sz w:val="14"/>
      </w:rPr>
      <w:t xml:space="preserve">Material gratuito extraído de </w:t>
    </w:r>
    <w:r>
      <w:rPr>
        <w:b/>
        <w:i w:val="0"/>
        <w:color w:val="203848"/>
        <w:sz w:val="14"/>
      </w:rPr>
      <w:t>www.thnumismatica.com.br</w:t>
    </w:r>
    <w:r>
      <w:rPr>
        <w:b w:val="0"/>
        <w:i w:val="0"/>
        <w:color w:val="53616A"/>
        <w:sz w:val="14"/>
      </w:rPr>
      <w:t xml:space="preserve">  |  TH Numismática  |  Reprodução permitida com atribuição e link à fonte.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i w:val="0"/>
        <w:color w:val="203848"/>
        <w:sz w:val="18"/>
      </w:rPr>
      <w:t xml:space="preserve">TH NUMISMÁTICA  </w:t>
    </w:r>
    <w:r>
      <w:rPr>
        <w:b w:val="0"/>
        <w:i w:val="0"/>
        <w:color w:val="B18B51"/>
        <w:sz w:val="16"/>
      </w:rPr>
      <w:t xml:space="preserve"> | BIBLIOTECA GRATUITA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DejaVu Sans" w:hAnsi="DejaVu Sans"/>
      <w:color w:val="2038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203848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203848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200"/>
      <w:contextualSpacing/>
    </w:pPr>
    <w:rPr>
      <w:rFonts w:asciiTheme="majorHAnsi" w:eastAsiaTheme="majorEastAsia" w:hAnsiTheme="majorHAnsi" w:cstheme="majorBidi" w:ascii="DejaVu Sans" w:hAnsi="DejaVu Sans"/>
      <w:b/>
      <w:color w:val="203848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thnumismatica.com.br/moedas" TargetMode="External"/><Relationship Id="rId12" Type="http://schemas.openxmlformats.org/officeDocument/2006/relationships/hyperlink" Target="https://thnumismatica.com.br/acervo" TargetMode="External"/><Relationship Id="rId13" Type="http://schemas.openxmlformats.org/officeDocument/2006/relationships/image" Target="media/image1.png"/><Relationship Id="rId14" Type="http://schemas.openxmlformats.org/officeDocument/2006/relationships/hyperlink" Target="https://thnumismatica.com.br/jornada" TargetMode="External"/><Relationship Id="rId15" Type="http://schemas.openxmlformats.org/officeDocument/2006/relationships/hyperlink" Target="https://www.money.org/FAQ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compra segura de moedas antigas</dc:title>
  <dc:subject>Biblioteca gratuita de ferramentas para colecionadores</dc:subject>
  <dc:creator>TH Numismática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