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spacing w:after="120"/>
      </w:pPr>
      <w:r>
        <w:rPr>
          <w:b/>
          <w:i w:val="0"/>
          <w:color w:val="B18B51"/>
          <w:sz w:val="16"/>
        </w:rPr>
        <w:t>MATERIAL 02  |  VERSÃO 1.0  |  OUTUBRO DE 2026</w:t>
      </w:r>
    </w:p>
    <w:p>
      <w:pPr>
        <w:pStyle w:val="Title"/>
      </w:pPr>
      <w:r>
        <w:t>Ficha de procedência e histórico de aquisição</w:t>
      </w:r>
    </w:p>
    <w:p>
      <w:r>
        <w:rPr>
          <w:b w:val="0"/>
          <w:i w:val="0"/>
          <w:color w:val="53616A"/>
          <w:sz w:val="20"/>
        </w:rPr>
        <w:t>Preserve a trajetória documental de cada exemplar da sua coleção.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2F4"/>
            <w:tcMar>
              <w:top w:w="140" w:type="dxa"/>
              <w:bottom w:w="110" w:type="dxa"/>
              <w:left w:w="200" w:type="dxa"/>
              <w:right w:w="200" w:type="dxa"/>
            </w:tcMar>
          </w:tcPr>
          <w:p>
            <w:r>
              <w:rPr>
                <w:b w:val="0"/>
                <w:i w:val="0"/>
                <w:color w:val="203848"/>
                <w:sz w:val="17"/>
              </w:rPr>
              <w:t>Uma ficha para cada moeda. Separe documentos efetivamente recebidos de informações declaradas pelo vendedor ou ainda não confirmadas. O histórico conhecido começa na evidência disponível, não na suposição.</w:t>
            </w:r>
          </w:p>
        </w:tc>
      </w:tr>
    </w:tbl>
    <w:p>
      <w:pPr>
        <w:spacing w:after="0"/>
      </w:pPr>
    </w:p>
    <w:p>
      <w:pPr>
        <w:pStyle w:val="Heading1"/>
      </w:pPr>
      <w:r>
        <w:t>1. Identificação e registro próprio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CÓDIGO DA COLEÇÃO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CIVILIZAÇÃO / AUTORIDADE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DENOMINAÇÃO E METAL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DATAÇÃO ATRIBUÍDA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PESO E DIÂMETRO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REFERÊNCIA / TIPO CATALOGRÁFICO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2. Aquisição mais recente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DATA DA AQUISIÇÃO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VENDEDOR / CASA DE LEILÕES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PLATAFORMA / LOCAL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NÚMERO DE ANÚNCIO OU LOTE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PREÇO E MOEDA DE PAGAMENTO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NÚMERO DA NOTA / COMPROVANTE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Endereço eletrônico do anúncio original ou arquivo preservado: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pStyle w:val="Heading1"/>
      </w:pPr>
      <w:r>
        <w:t>3. Histórico anterior efetivamente conhecido</w:t>
      </w:r>
    </w:p>
    <w:p>
      <w:r>
        <w:rPr>
          <w:b w:val="0"/>
          <w:i w:val="0"/>
        </w:rPr>
        <w:t>Antigo proprietário, coleção, leilão anterior, recibo antigo ou outra etapa documentada: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r>
        <w:rPr>
          <w:b w:val="0"/>
          <w:i w:val="0"/>
        </w:rPr>
        <w:t>Fonte de cada informação histórica (ex.: etiqueta antiga, catálogo datado, recibo, fotografia publicada):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pStyle w:val="Heading1"/>
      </w:pPr>
      <w:r>
        <w:t>4. Grau de documentação do histórico</w:t>
      </w:r>
    </w:p>
    <w:p>
      <w:pPr>
        <w:pStyle w:val="Heading2"/>
      </w:pPr>
      <w:r>
        <w:t>Classificação do registro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184"/>
      </w:tblGrid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Comprovado documentalmente: há material identificável que sustenta a informação.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Declarado por terceiro: informação atribuída ao vendedor ou proprietário anterior, sem documentação independente suficiente.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Hipótese de pesquisa: associação possível, ainda dependente de confirmação.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Desconhecido: informação não disponível. O campo permanece sem preenchimento conjectural.</w:t>
            </w:r>
          </w:p>
        </w:tc>
      </w:tr>
    </w:tbl>
    <w:p>
      <w:pPr>
        <w:spacing w:after="0"/>
      </w:pPr>
    </w:p>
    <w:p>
      <w:pPr>
        <w:pStyle w:val="Heading1"/>
      </w:pPr>
      <w:r>
        <w:t>5. Arquivos vinculados à ficha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FOTO DO ANVERSO (NOME DO ARQUIVO)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FOTO DO REVERSO (NOME DO ARQUIVO)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COMPROVANTE (NOME / LOCALIZAÇÃO)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ETIQUETA / TICKET ANTIGO (ARQUIVO)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CÓPIA DO ANÚNCIO (ARQUIVO)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BACKUP DIGITAL (LOCALIZAÇÃO)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6. Verificação e atualizações</w:t>
      </w:r>
    </w:p>
    <w:p>
      <w:r>
        <w:rPr>
          <w:b w:val="0"/>
          <w:i w:val="0"/>
        </w:rPr>
        <w:t>Última conferência: ___________________   Responsável pela conferência: _______________________</w:t>
      </w:r>
    </w:p>
    <w:p>
      <w:r>
        <w:rPr>
          <w:b w:val="0"/>
          <w:i w:val="0"/>
        </w:rPr>
        <w:t>Informações atualizadas ou corrigidas, com indicação da fonte e da data: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pPr>
        <w:spacing w:after="20"/>
      </w:pPr>
      <w:r>
        <w:rPr>
          <w:b w:val="0"/>
          <w:i w:val="0"/>
          <w:color w:val="A7B3B9"/>
          <w:sz w:val="16"/>
        </w:rPr>
        <w:t>_________________________________________________________________________________________________</w:t>
      </w:r>
    </w:p>
    <w:p>
      <w:r>
        <w:rPr>
          <w:b w:val="0"/>
          <w:i w:val="0"/>
        </w:rPr>
        <w:t>Atenção: o país de origem do vendedor não demonstra, por si só, o local de descoberta, a procedência histórica ou a licitude de todas as etapas anteriores. Uma referência catalográfica auxilia na identificação do tipo monetário, mas não comprova o histórico de propriedade do exemplar.</w:t>
      </w:r>
    </w:p>
    <w:p>
      <w:pPr>
        <w:pStyle w:val="Heading1"/>
      </w:pPr>
      <w:r>
        <w:t>Boas práticas de documentação digital</w:t>
      </w:r>
    </w:p>
    <w:p>
      <w:pPr>
        <w:pStyle w:val="ListBullet"/>
      </w:pPr>
      <w:r>
        <w:rPr>
          <w:b w:val="0"/>
          <w:i w:val="0"/>
        </w:rPr>
        <w:t>Guarde uma cópia integral do anúncio na data da compra. A página original poderá mudar ou sair do ar.</w:t>
      </w:r>
    </w:p>
    <w:p>
      <w:pPr>
        <w:pStyle w:val="ListBullet"/>
      </w:pPr>
      <w:r>
        <w:rPr>
          <w:b w:val="0"/>
          <w:i w:val="0"/>
        </w:rPr>
        <w:t>Preserve fotos em resolução original, recibos, mensagens relevantes e eventual catálogo de leilão com data e número de lote.</w:t>
      </w:r>
    </w:p>
    <w:p>
      <w:pPr>
        <w:pStyle w:val="ListBullet"/>
      </w:pPr>
      <w:r>
        <w:rPr>
          <w:b w:val="0"/>
          <w:i w:val="0"/>
        </w:rPr>
        <w:t>Dê nomes de arquivo consistentes, por exemplo: ID0001_anverso.jpg, ID0001_recibo.pdf, ID0001_lote.pdf.</w:t>
      </w:r>
    </w:p>
    <w:p>
      <w:pPr>
        <w:pStyle w:val="ListBullet"/>
      </w:pPr>
      <w:r>
        <w:rPr>
          <w:b w:val="0"/>
          <w:i w:val="0"/>
        </w:rPr>
        <w:t>Mantenha cópia de segurança separada. Ao corrigir uma atribuição, não elimine o registro anterior sem indicar a alteração e a fonte.</w:t>
      </w:r>
    </w:p>
    <w:p>
      <w:pPr>
        <w:pStyle w:val="ListBullet"/>
      </w:pPr>
      <w:r>
        <w:rPr>
          <w:b w:val="0"/>
          <w:i w:val="0"/>
        </w:rPr>
        <w:t>Uma informação verbal pode ser anotada, mas deve ser descrita como declaração, não como evidência documental confirmada.</w:t>
      </w:r>
    </w:p>
    <w:p>
      <w:pPr>
        <w:pStyle w:val="Heading1"/>
      </w:pPr>
      <w:r>
        <w:t>Registro de sucessivas referências documentais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t>Data / época</w:t>
            </w:r>
          </w:p>
        </w:tc>
        <w:tc>
          <w:tcPr>
            <w:tcW w:type="dxa" w:w="3213"/>
          </w:tcPr>
          <w:p>
            <w:r>
              <w:t>Fonte identificável</w:t>
            </w:r>
          </w:p>
        </w:tc>
        <w:tc>
          <w:tcPr>
            <w:tcW w:type="dxa" w:w="3213"/>
          </w:tcPr>
          <w:p>
            <w:r>
              <w:t>O que a fonte comprova</w:t>
            </w:r>
          </w:p>
        </w:tc>
      </w:tr>
      <w:tr>
        <w:tc>
          <w:tcPr>
            <w:tcW w:type="dxa" w:w="3213"/>
          </w:tcPr>
          <w:p>
            <w:r>
              <w:t>________________________</w:t>
            </w:r>
          </w:p>
        </w:tc>
        <w:tc>
          <w:tcPr>
            <w:tcW w:type="dxa" w:w="3213"/>
          </w:tcPr>
          <w:p>
            <w:r>
              <w:t>________________________</w:t>
            </w:r>
          </w:p>
        </w:tc>
        <w:tc>
          <w:tcPr>
            <w:tcW w:type="dxa" w:w="3213"/>
          </w:tcPr>
          <w:p>
            <w:r>
              <w:t>________________________</w:t>
            </w:r>
          </w:p>
        </w:tc>
      </w:tr>
      <w:tr>
        <w:tc>
          <w:tcPr>
            <w:tcW w:type="dxa" w:w="3213"/>
          </w:tcPr>
          <w:p>
            <w:r>
              <w:t>________________________</w:t>
            </w:r>
          </w:p>
        </w:tc>
        <w:tc>
          <w:tcPr>
            <w:tcW w:type="dxa" w:w="3213"/>
          </w:tcPr>
          <w:p>
            <w:r>
              <w:t>________________________</w:t>
            </w:r>
          </w:p>
        </w:tc>
        <w:tc>
          <w:tcPr>
            <w:tcW w:type="dxa" w:w="3213"/>
          </w:tcPr>
          <w:p>
            <w:r>
              <w:t>________________________</w:t>
            </w:r>
          </w:p>
        </w:tc>
      </w:tr>
      <w:tr>
        <w:tc>
          <w:tcPr>
            <w:tcW w:type="dxa" w:w="3213"/>
          </w:tcPr>
          <w:p>
            <w:r>
              <w:t>________________________</w:t>
            </w:r>
          </w:p>
        </w:tc>
        <w:tc>
          <w:tcPr>
            <w:tcW w:type="dxa" w:w="3213"/>
          </w:tcPr>
          <w:p>
            <w:r>
              <w:t>________________________</w:t>
            </w:r>
          </w:p>
        </w:tc>
        <w:tc>
          <w:tcPr>
            <w:tcW w:type="dxa" w:w="3213"/>
          </w:tcPr>
          <w:p>
            <w:r>
              <w:t>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77"/>
        <w:gridCol w:w="1361"/>
      </w:tblGrid>
      <w:tr>
        <w:tc>
          <w:tcPr>
            <w:tcW w:type="dxa" w:w="4819"/>
            <w:shd w:fill="EEF2F4"/>
            <w:tcMar>
              <w:top w:w="145" w:type="dxa"/>
              <w:bottom w:w="145" w:type="dxa"/>
              <w:left w:w="180" w:type="dxa"/>
              <w:right w:w="120" w:type="dxa"/>
            </w:tcMar>
          </w:tcPr>
          <w:p>
            <w:r>
              <w:rPr>
                <w:b/>
                <w:i w:val="0"/>
                <w:color w:val="203848"/>
                <w:sz w:val="16"/>
              </w:rPr>
              <w:t>CONTINUE SUA PESQUISA NA TH NUMISMÁTICA</w:t>
            </w:r>
          </w:p>
          <w:p>
            <w:pPr>
              <w:spacing w:after="60"/>
            </w:pPr>
            <w:r>
              <w:rPr>
                <w:b w:val="0"/>
                <w:i w:val="0"/>
                <w:color w:val="53616A"/>
                <w:sz w:val="16"/>
              </w:rPr>
              <w:t>No Acervo Digital TH, as moedas mantêm fichas consultáveis mesmo após sua venda. Utilize essa documentação como ponto de partida, preservando seus próprios comprovantes.</w:t>
            </w:r>
          </w:p>
          <w:p>
            <w:hyperlink r:id="rId11">
              <w:r>
                <w:rPr>
                  <w:color w:val="1C6881"/>
                  <w:u w:val="single"/>
                </w:rPr>
                <w:t>Conheça as moedas disponíveis</w:t>
              </w:r>
            </w:hyperlink>
            <w:r>
              <w:rPr>
                <w:b w:val="0"/>
                <w:i w:val="0"/>
                <w:color w:val="53616A"/>
                <w:sz w:val="16"/>
              </w:rPr>
              <w:t xml:space="preserve">  |  </w:t>
            </w:r>
            <w:hyperlink r:id="rId12">
              <w:r>
                <w:rPr>
                  <w:color w:val="1C6881"/>
                  <w:u w:val="single"/>
                </w:rPr>
                <w:t>Acervo Digital TH</w:t>
              </w:r>
            </w:hyperlink>
          </w:p>
        </w:tc>
        <w:tc>
          <w:tcPr>
            <w:tcW w:type="dxa" w:w="481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catalog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r>
        <w:rPr>
          <w:b w:val="0"/>
          <w:i w:val="0"/>
          <w:color w:val="53616A"/>
          <w:sz w:val="16"/>
        </w:rPr>
        <w:t xml:space="preserve">Consulta complementar: American Numismatic Society. </w:t>
      </w:r>
      <w:hyperlink r:id="rId14">
        <w:r>
          <w:rPr>
            <w:color w:val="1C6881"/>
            <w:u w:val="single"/>
          </w:rPr>
          <w:t>https://numismatics.org/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1077" w:left="113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3616A"/>
        <w:sz w:val="14"/>
      </w:rPr>
      <w:t xml:space="preserve">Material gratuito extraído de </w:t>
    </w:r>
    <w:r>
      <w:rPr>
        <w:b/>
        <w:i w:val="0"/>
        <w:color w:val="203848"/>
        <w:sz w:val="14"/>
      </w:rPr>
      <w:t>www.thnumismatica.com.br</w:t>
    </w:r>
    <w:r>
      <w:rPr>
        <w:b w:val="0"/>
        <w:i w:val="0"/>
        <w:color w:val="53616A"/>
        <w:sz w:val="14"/>
      </w:rPr>
      <w:t xml:space="preserve">  |  TH Numismática  |  Reprodução permitida com atribuição e link à fonte.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203848"/>
        <w:sz w:val="18"/>
      </w:rPr>
      <w:t xml:space="preserve">TH NUMISMÁTICA  </w:t>
    </w:r>
    <w:r>
      <w:rPr>
        <w:b w:val="0"/>
        <w:i w:val="0"/>
        <w:color w:val="B18B51"/>
        <w:sz w:val="16"/>
      </w:rPr>
      <w:t xml:space="preserve"> |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DejaVu Sans" w:hAnsi="DejaVu Sans"/>
      <w:color w:val="2038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038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20384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00"/>
      <w:contextualSpacing/>
    </w:pPr>
    <w:rPr>
      <w:rFonts w:asciiTheme="majorHAnsi" w:eastAsiaTheme="majorEastAsia" w:hAnsiTheme="majorHAnsi" w:cstheme="majorBidi" w:ascii="DejaVu Sans" w:hAnsi="DejaVu Sans"/>
      <w:b/>
      <w:color w:val="2038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thnumismatica.com.br/moedas" TargetMode="External"/><Relationship Id="rId12" Type="http://schemas.openxmlformats.org/officeDocument/2006/relationships/hyperlink" Target="https://thnumismatica.com.br/acervo" TargetMode="External"/><Relationship Id="rId13" Type="http://schemas.openxmlformats.org/officeDocument/2006/relationships/image" Target="media/image1.png"/><Relationship Id="rId14" Type="http://schemas.openxmlformats.org/officeDocument/2006/relationships/hyperlink" Target="https://numismatic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procedência e histórico de aquisição</dc:title>
  <dc:subject>Biblioteca gratuita de ferramentas para colecionadores</dc:subject>
  <dc:creator>TH Numismática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