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spacing w:after="120"/>
      </w:pPr>
      <w:r>
        <w:rPr>
          <w:b/>
          <w:i w:val="0"/>
          <w:color w:val="B18B51"/>
          <w:sz w:val="16"/>
        </w:rPr>
        <w:t>MATERIAL 03  |  VERSÃO 1.0  |  OUTUBRO DE 2026</w:t>
      </w:r>
    </w:p>
    <w:p>
      <w:pPr>
        <w:pStyle w:val="Title"/>
      </w:pPr>
      <w:r>
        <w:t>Checklist de conservação preventiva de moedas antigas</w:t>
      </w:r>
    </w:p>
    <w:p>
      <w:r>
        <w:rPr>
          <w:b w:val="0"/>
          <w:i w:val="0"/>
          <w:color w:val="53616A"/>
          <w:sz w:val="20"/>
        </w:rPr>
        <w:t>Uma rotina segura para proteger metais, pátinas e documentação histórica.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2F4"/>
            <w:tcMar>
              <w:top w:w="140" w:type="dxa"/>
              <w:bottom w:w="110" w:type="dxa"/>
              <w:left w:w="200" w:type="dxa"/>
              <w:right w:w="200" w:type="dxa"/>
            </w:tcMar>
          </w:tcPr>
          <w:p>
            <w:r>
              <w:rPr>
                <w:b w:val="0"/>
                <w:i w:val="0"/>
                <w:color w:val="203848"/>
                <w:sz w:val="17"/>
              </w:rPr>
              <w:t>Voltado principalmente a exemplares romanos, gregos e bizantinos em ligas de cobre, prata e bilhão. Este material não recomenda limpeza química ou abrasiva e não substitui avaliação de conservador especializado.</w:t>
            </w:r>
          </w:p>
        </w:tc>
      </w:tr>
    </w:tbl>
    <w:p>
      <w:pPr>
        <w:spacing w:after="0"/>
      </w:pPr>
    </w:p>
    <w:p>
      <w:pPr>
        <w:pStyle w:val="Heading1"/>
      </w:pPr>
      <w:r>
        <w:t>Inspeção inicial do exemplar</w:t>
      </w:r>
    </w:p>
    <w:p>
      <w:pPr>
        <w:pStyle w:val="Heading2"/>
      </w:pPr>
      <w:r>
        <w:t>A. Antes de acondicionar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Documentei anverso, reverso e, quando relevante, borda da moeda.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Registrei código próprio, metal atribuído, peso, diâmetro e local de guarda.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Observei, sem remover depósitos, a existência de fissuras, resíduos, fragilidade ou possíveis sinais de corrosão ativa.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Se houver suspeita de instabilidade superficial, separei o exemplar para avaliação, sem aplicar produtos.</w:t>
            </w:r>
          </w:p>
        </w:tc>
      </w:tr>
    </w:tbl>
    <w:p>
      <w:pPr>
        <w:spacing w:after="0"/>
      </w:pPr>
    </w:p>
    <w:p>
      <w:pPr>
        <w:pStyle w:val="Heading2"/>
      </w:pPr>
      <w:r>
        <w:t>B. Materiais de acondicionamento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O suporte utilizado é apropriado para conservação e possui composição identificada.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Evitei contato prolongado com PVC plastificado, adesivos, espuma desconhecida e materiais que possam liberar substâncias nocivas.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Escolhi envelope de qualidade arquivística, bandeja inerte ou suporte que permita acondicionamento individual.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 etiqueta e o adesivo, quando existentes, não entram em contato direto com a moeda.</w:t>
            </w:r>
          </w:p>
        </w:tc>
      </w:tr>
    </w:tbl>
    <w:p>
      <w:pPr>
        <w:spacing w:after="0"/>
      </w:pPr>
    </w:p>
    <w:p>
      <w:pPr>
        <w:pStyle w:val="Heading2"/>
      </w:pPr>
      <w:r>
        <w:t>C. Ambiente e manuseio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Guardei a moeda em ambiente seco, com temperatura relativamente estável e sem exposição direta à luz solar.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Evitei locais com umidade recorrente, condensação e proximidade de produtos químicos.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Durante o manuseio, utilizei mãos limpas e secas, segurando a moeda de modo seguro, sem forçar áreas frágeis.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Não empilhei exemplares sem separação, para evitar atrito e riscos.</w:t>
            </w:r>
          </w:p>
        </w:tc>
      </w:tr>
    </w:tbl>
    <w:p>
      <w:pPr>
        <w:spacing w:after="0"/>
      </w:pPr>
    </w:p>
    <w:p>
      <w:pPr>
        <w:pStyle w:val="Heading2"/>
      </w:pPr>
      <w:r>
        <w:t>D. Acompanhamento periódico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9184"/>
      </w:tblGrid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Comparei novas fotografias com o registro anterior quando apareceu alguma alteração.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Anotei data, condição observada e medidas preventivas adotadas.</w:t>
            </w:r>
          </w:p>
        </w:tc>
      </w:tr>
      <w:tr>
        <w:tc>
          <w:tcPr>
            <w:tcW w:type="dxa" w:w="45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r>
              <w:t>☐</w:t>
            </w:r>
          </w:p>
        </w:tc>
        <w:tc>
          <w:tcPr>
            <w:tcW w:type="dxa" w:w="9184"/>
            <w:tcMar>
              <w:top w:w="45" w:type="dxa"/>
              <w:bottom w:w="55" w:type="dxa"/>
              <w:left w:w="50" w:type="dxa"/>
              <w:right w:w="30" w:type="dxa"/>
            </w:tcMar>
            <w:tcBorders>
              <w:bottom w:val="single" w:sz="2" w:color="D6DEE2"/>
            </w:tcBorders>
          </w:tcPr>
          <w:p>
            <w:pPr>
              <w:spacing w:after="0"/>
            </w:pPr>
            <w:r>
              <w:t>Se a alteração for progressiva, interrompi intervenções caseiras e busquei orientação técnica.</w:t>
            </w:r>
          </w:p>
        </w:tc>
      </w:tr>
    </w:tbl>
    <w:p>
      <w:pPr>
        <w:spacing w:after="0"/>
      </w:pPr>
    </w:p>
    <w:p>
      <w:pPr>
        <w:pStyle w:val="Heading1"/>
      </w:pPr>
      <w:r>
        <w:t>Registro de inspeção periódica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CÓDIGO DA MOEDA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DATA DA INSPEÇÃO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  <w:tr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LOCAL DE GUARDA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  <w:tc>
          <w:tcPr>
            <w:tcW w:type="dxa" w:w="4819"/>
            <w:tcMar>
              <w:top w:w="90" w:type="dxa"/>
              <w:bottom w:w="110" w:type="dxa"/>
              <w:left w:w="110" w:type="dxa"/>
              <w:right w:w="110" w:type="dxa"/>
            </w:tcMar>
            <w:tcBorders>
              <w:bottom w:val="single" w:sz="3" w:color="D6DEE2"/>
            </w:tcBorders>
          </w:tcPr>
          <w:p>
            <w:r>
              <w:rPr>
                <w:b/>
                <w:i w:val="0"/>
                <w:color w:val="53616A"/>
                <w:sz w:val="14"/>
              </w:rPr>
              <w:t>OBSERVAÇÃO / ALTERAÇÃO PERCEBIDA</w:t>
            </w:r>
          </w:p>
          <w:p>
            <w:r>
              <w:rPr>
                <w:b w:val="0"/>
                <w:i w:val="0"/>
                <w:color w:val="53616A"/>
                <w:sz w:val="16"/>
              </w:rPr>
              <w:t>__________________________________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Situação:  ☐ Sem alteração perceptível    ☐ Alteração sob observação    ☐ Encaminhar para avaliação técnica</w:t>
      </w:r>
    </w:p>
    <w:p>
      <w:r>
        <w:rPr>
          <w:b w:val="0"/>
          <w:i w:val="0"/>
        </w:rPr>
        <w:t>Conduta prudente: não confunda toda coloração verde com corrosão ativa e não confunda uma pátina histórica estável com sujeira a ser removida. O diagnóstico demanda contexto, acompanhamento e, em situações relevantes, exame técnico.</w:t>
      </w:r>
    </w:p>
    <w:p>
      <w:pPr>
        <w:pStyle w:val="Heading1"/>
      </w:pPr>
      <w:r>
        <w:t>Diário de acompanhamento da moeda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t>Data</w:t>
            </w:r>
          </w:p>
        </w:tc>
        <w:tc>
          <w:tcPr>
            <w:tcW w:type="dxa" w:w="2409"/>
          </w:tcPr>
          <w:p>
            <w:r>
              <w:t>Condição observada</w:t>
            </w:r>
          </w:p>
        </w:tc>
        <w:tc>
          <w:tcPr>
            <w:tcW w:type="dxa" w:w="2409"/>
          </w:tcPr>
          <w:p>
            <w:r>
              <w:t>Comparação com registro anterior</w:t>
            </w:r>
          </w:p>
        </w:tc>
        <w:tc>
          <w:tcPr>
            <w:tcW w:type="dxa" w:w="2409"/>
          </w:tcPr>
          <w:p>
            <w:r>
              <w:t>Providência</w:t>
            </w:r>
          </w:p>
        </w:tc>
      </w:tr>
      <w:tr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</w:tr>
      <w:tr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</w:tr>
      <w:tr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</w:tr>
      <w:tr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  <w:tc>
          <w:tcPr>
            <w:tcW w:type="dxa" w:w="2409"/>
          </w:tcPr>
          <w:p>
            <w:r>
              <w:t>__________________</w:t>
            </w:r>
          </w:p>
        </w:tc>
      </w:tr>
    </w:tbl>
    <w:p>
      <w:pPr>
        <w:pStyle w:val="Heading2"/>
      </w:pPr>
      <w:r>
        <w:t>Quando é recomendável pedir avaliação especializada?</w:t>
      </w:r>
    </w:p>
    <w:p>
      <w:pPr>
        <w:pStyle w:val="ListBullet"/>
      </w:pPr>
      <w:r>
        <w:rPr>
          <w:b w:val="0"/>
          <w:i w:val="0"/>
        </w:rPr>
        <w:t>Alterações que parecem aumentar entre duas inspeções documentadas por fotografia.</w:t>
      </w:r>
    </w:p>
    <w:p>
      <w:pPr>
        <w:pStyle w:val="ListBullet"/>
      </w:pPr>
      <w:r>
        <w:rPr>
          <w:b w:val="0"/>
          <w:i w:val="0"/>
        </w:rPr>
        <w:t>Superfície pulverulenta ou material friável que se desprende sem esforço.</w:t>
      </w:r>
    </w:p>
    <w:p>
      <w:pPr>
        <w:pStyle w:val="ListBullet"/>
      </w:pPr>
      <w:r>
        <w:rPr>
          <w:b w:val="0"/>
          <w:i w:val="0"/>
        </w:rPr>
        <w:t>Fissuras, descamação ou fragilidade crescente.</w:t>
      </w:r>
    </w:p>
    <w:p>
      <w:pPr>
        <w:pStyle w:val="ListBullet"/>
      </w:pPr>
      <w:r>
        <w:rPr>
          <w:b w:val="0"/>
          <w:i w:val="0"/>
        </w:rPr>
        <w:t>Suspeita de resíduos químicos e sinais de intervenção anterior não esclarecidos.</w:t>
      </w:r>
    </w:p>
    <w:p>
      <w:r>
        <w:rPr>
          <w:b w:val="0"/>
          <w:i w:val="0"/>
        </w:rPr>
        <w:t>Nota: sinais isolados não permitem diagnosticar corrosão ativa. Registre a observação e preserve as condições existentes até orientação confiável.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277"/>
        <w:gridCol w:w="1361"/>
      </w:tblGrid>
      <w:tr>
        <w:tc>
          <w:tcPr>
            <w:tcW w:type="dxa" w:w="4819"/>
            <w:shd w:fill="EEF2F4"/>
            <w:tcMar>
              <w:top w:w="145" w:type="dxa"/>
              <w:bottom w:w="145" w:type="dxa"/>
              <w:left w:w="180" w:type="dxa"/>
              <w:right w:w="120" w:type="dxa"/>
            </w:tcMar>
          </w:tcPr>
          <w:p>
            <w:r>
              <w:rPr>
                <w:b/>
                <w:i w:val="0"/>
                <w:color w:val="203848"/>
                <w:sz w:val="16"/>
              </w:rPr>
              <w:t>CONTINUE SUA PESQUISA NA TH NUMISMÁTICA</w:t>
            </w:r>
          </w:p>
          <w:p>
            <w:pPr>
              <w:spacing w:after="60"/>
            </w:pPr>
            <w:r>
              <w:rPr>
                <w:b w:val="0"/>
                <w:i w:val="0"/>
                <w:color w:val="53616A"/>
                <w:sz w:val="16"/>
              </w:rPr>
              <w:t>Veja moedas antigas documentadas e seus registros de conservação no acervo da TH Numismática.</w:t>
            </w:r>
          </w:p>
          <w:p>
            <w:hyperlink r:id="rId11">
              <w:r>
                <w:rPr>
                  <w:color w:val="1C6881"/>
                  <w:u w:val="single"/>
                </w:rPr>
                <w:t>Conheça as moedas disponíveis</w:t>
              </w:r>
            </w:hyperlink>
            <w:r>
              <w:rPr>
                <w:b w:val="0"/>
                <w:i w:val="0"/>
                <w:color w:val="53616A"/>
                <w:sz w:val="16"/>
              </w:rPr>
              <w:t xml:space="preserve">  |  </w:t>
            </w:r>
            <w:hyperlink r:id="rId12">
              <w:r>
                <w:rPr>
                  <w:color w:val="1C6881"/>
                  <w:u w:val="single"/>
                </w:rPr>
                <w:t>Acervo Digital TH</w:t>
              </w:r>
            </w:hyperlink>
          </w:p>
        </w:tc>
        <w:tc>
          <w:tcPr>
            <w:tcW w:type="dxa" w:w="481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612000" cy="61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ata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pStyle w:val="Heading1"/>
      </w:pPr>
      <w:r>
        <w:t>Fontes para aprofundamento</w:t>
      </w:r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TH Numismática. Jornada do Colecionador. </w:t>
      </w:r>
      <w:hyperlink r:id="rId14">
        <w:r>
          <w:rPr>
            <w:color w:val="1C6881"/>
            <w:u w:val="single"/>
          </w:rPr>
          <w:t>https://thnumismatica.com.br/jornada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TH Numismática. Acervo Digital. </w:t>
      </w:r>
      <w:hyperlink r:id="rId12">
        <w:r>
          <w:rPr>
            <w:color w:val="1C6881"/>
            <w:u w:val="single"/>
          </w:rPr>
          <w:t>https://thnumismatica.com.br/acervo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American Numismatic Association. Coin Collecting FAQs. </w:t>
      </w:r>
      <w:hyperlink r:id="rId15">
        <w:r>
          <w:rPr>
            <w:color w:val="1C6881"/>
            <w:u w:val="single"/>
          </w:rPr>
          <w:t>https://www.money.org/FAQ/</w:t>
        </w:r>
      </w:hyperlink>
    </w:p>
    <w:p>
      <w:pPr>
        <w:spacing w:after="60"/>
      </w:pPr>
      <w:r>
        <w:rPr>
          <w:b w:val="0"/>
          <w:i w:val="0"/>
          <w:color w:val="53616A"/>
          <w:sz w:val="16"/>
        </w:rPr>
        <w:t xml:space="preserve">American Numismatic Association. How to Store Coins. </w:t>
      </w:r>
      <w:hyperlink r:id="rId16">
        <w:r>
          <w:rPr>
            <w:color w:val="1C6881"/>
            <w:u w:val="single"/>
          </w:rPr>
          <w:t>https://www.money.org/how-to-store-coins-video/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1077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3616A"/>
        <w:sz w:val="14"/>
      </w:rPr>
      <w:t xml:space="preserve">Material gratuito extraído de </w:t>
    </w:r>
    <w:r>
      <w:rPr>
        <w:b/>
        <w:i w:val="0"/>
        <w:color w:val="203848"/>
        <w:sz w:val="14"/>
      </w:rPr>
      <w:t>www.thnumismatica.com.br</w:t>
    </w:r>
    <w:r>
      <w:rPr>
        <w:b w:val="0"/>
        <w:i w:val="0"/>
        <w:color w:val="53616A"/>
        <w:sz w:val="14"/>
      </w:rPr>
      <w:t xml:space="preserve">  |  TH Numismática  |  Reprodução permitida com atribuição e link à fonte.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203848"/>
        <w:sz w:val="18"/>
      </w:rPr>
      <w:t xml:space="preserve">TH NUMISMÁTICA  </w:t>
    </w:r>
    <w:r>
      <w:rPr>
        <w:b w:val="0"/>
        <w:i w:val="0"/>
        <w:color w:val="B18B51"/>
        <w:sz w:val="16"/>
      </w:rPr>
      <w:t xml:space="preserve"> |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DejaVu Sans" w:hAnsi="DejaVu Sans"/>
      <w:color w:val="2038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8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84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DejaVu Sans" w:hAnsi="DejaVu Sans"/>
      <w:b/>
      <w:color w:val="2038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hnumismatica.com.br/moedas" TargetMode="External"/><Relationship Id="rId12" Type="http://schemas.openxmlformats.org/officeDocument/2006/relationships/hyperlink" Target="https://thnumismatica.com.br/acervo" TargetMode="External"/><Relationship Id="rId13" Type="http://schemas.openxmlformats.org/officeDocument/2006/relationships/image" Target="media/image1.png"/><Relationship Id="rId14" Type="http://schemas.openxmlformats.org/officeDocument/2006/relationships/hyperlink" Target="https://thnumismatica.com.br/jornada" TargetMode="External"/><Relationship Id="rId15" Type="http://schemas.openxmlformats.org/officeDocument/2006/relationships/hyperlink" Target="https://www.money.org/FAQ/" TargetMode="External"/><Relationship Id="rId16" Type="http://schemas.openxmlformats.org/officeDocument/2006/relationships/hyperlink" Target="https://www.money.org/how-to-store-coins-vide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conservação preventiva de moedas antigas</dc:title>
  <dc:subject>Biblioteca gratuita de ferramentas para colecionadores</dc:subject>
  <dc:creator>TH Numismática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