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spacing w:after="120"/>
      </w:pPr>
      <w:r>
        <w:rPr>
          <w:b/>
          <w:i w:val="0"/>
          <w:color w:val="B18B51"/>
          <w:sz w:val="16"/>
        </w:rPr>
        <w:t>MATERIAL 04  |  VERSÃO 1.0  |  OUTUBRO DE 2026</w:t>
      </w:r>
    </w:p>
    <w:p>
      <w:pPr>
        <w:pStyle w:val="Title"/>
      </w:pPr>
      <w:r>
        <w:t>Ficha numismática individual de moeda antiga</w:t>
      </w:r>
    </w:p>
    <w:p>
      <w:r>
        <w:rPr>
          <w:b w:val="0"/>
          <w:i w:val="0"/>
          <w:color w:val="53616A"/>
          <w:sz w:val="20"/>
        </w:rPr>
        <w:t>Modelo editável de identificação, descrição, atribuição e conservação.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2F4"/>
            <w:tcMar>
              <w:top w:w="140" w:type="dxa"/>
              <w:bottom w:w="110" w:type="dxa"/>
              <w:left w:w="200" w:type="dxa"/>
              <w:right w:w="200" w:type="dxa"/>
            </w:tcMar>
          </w:tcPr>
          <w:p>
            <w:r>
              <w:rPr>
                <w:b w:val="0"/>
                <w:i w:val="0"/>
                <w:color w:val="203848"/>
                <w:sz w:val="17"/>
              </w:rPr>
              <w:t>Preencha uma ficha por exemplar. Diferencie sempre: observação direta, atribuição respaldada por fonte e informação ainda não confirmada. Campos não conhecidos devem permanecer indicados como desconhecidos.</w:t>
            </w:r>
          </w:p>
        </w:tc>
      </w:tr>
    </w:tbl>
    <w:p>
      <w:pPr>
        <w:spacing w:after="0"/>
      </w:pPr>
    </w:p>
    <w:p>
      <w:pPr>
        <w:pStyle w:val="Heading1"/>
      </w:pPr>
      <w:r>
        <w:t>1. Controle e dados objetivos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CÓDIGO PRÓPRIO DA MOEDA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STATUS / LOCALIZAÇÃO FÍSICA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CIVILIZAÇÃO OU CULTURA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AUTORIDADE / EMISSOR ATRIBUÍDO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DATAÇÃO / INTERVALO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DENOMINAÇÃO / TIPOLOGIA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CECA / CIDADE EMISSORA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OFICINA (QUANDO APLICÁVEL)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METAL OU LIGA (ATRIBUÍDO / TESTADO)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PESO (G)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DIÂMETRO MÍNIMO E MÁXIMO (MM)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EIXO DOS CUNHOS (H), SE AFERIDO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2. Registro iconográfico</w:t>
      </w:r>
    </w:p>
    <w:p>
      <w:r>
        <w:rPr>
          <w:b w:val="0"/>
          <w:i w:val="0"/>
        </w:rPr>
        <w:t>ANVERSO. Legenda transcrita, preservando lacunas e incertezas: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Busto, direção, atributos e demais elementos visíveis: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REVERSO. Legenda transcrita, preservando lacunas e incertezas: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Divindade, personagem, cena, símbolos, marcas de campo e exergo: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pStyle w:val="Heading1"/>
      </w:pPr>
      <w:r>
        <w:t>3. Confronto com a bibliografia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REFERÊNCIA PRINCIPAL (TIPO, VOLUME, NÚMERO)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OUTRAS REFERÊNCIAS / VARIANTES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Elementos observados que sustentam a atribuição (retrato, legenda, reverso, ceca, medidas):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Hipóteses alternativas ou diferenças em relação aos tipos consultados: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Grau de segurança da atribuição:  ☐ Confirmada pelos elementos observáveis e referências   ☐ Provável   ☐ Possível   ☐ Não identificada</w:t>
      </w:r>
    </w:p>
    <w:p>
      <w:pPr>
        <w:pStyle w:val="Heading1"/>
      </w:pPr>
      <w:r>
        <w:t>4. Estado, procedência e documentação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CONSERVAÇÃO (DESCRIÇÃO, NÃO APENAS NOTA)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PROCEDÊNCIA DOCUMENTAL CONHECIDA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DATA / FONTE DE AQUISIÇÃO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LOCAL DAS FOTOS E COMPROVANTES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Intervenções conhecidas, fragilidades ou observações de superfície: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pStyle w:val="Heading1"/>
      </w:pPr>
      <w:r>
        <w:t>5. Registro fotográfico</w:t>
      </w:r>
    </w:p>
    <w:p>
      <w:r>
        <w:rPr>
          <w:b w:val="0"/>
          <w:i w:val="0"/>
        </w:rPr>
        <w:t>Fotografia do anverso: [inserir imagem ou nome do arquivo]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Fotografia do reverso: [inserir imagem ou nome do arquivo]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Revisão da ficha: ____/____/________   Responsável: ______________________________</w:t>
      </w:r>
    </w:p>
    <w:p>
      <w:r>
        <w:rPr>
          <w:b w:val="0"/>
          <w:i w:val="0"/>
        </w:rPr>
        <w:t>Nota metodológica: o nome de um governante ou o período indicado pelo vendedor constitui atribuição inicial, não dado necessariamente confirmado. A medição deve identificar o exemplar fotografado. Se uma referência de catálogo cobre várias variantes, não atribua número específico sem os elementos diferenciais correspondentes.</w:t>
      </w:r>
    </w:p>
    <w:p>
      <w:pPr>
        <w:pStyle w:val="Heading1"/>
      </w:pPr>
      <w:r>
        <w:t>Critério para registrar atribuições</w:t>
      </w:r>
    </w:p>
    <w:p>
      <w:pPr>
        <w:pStyle w:val="ListBullet"/>
      </w:pPr>
      <w:r>
        <w:rPr>
          <w:b w:val="0"/>
          <w:i w:val="0"/>
        </w:rPr>
        <w:t>Confirmada: os atributos diagnósticos preservados são suficientes para a identificação indicada e a referência adotada.</w:t>
      </w:r>
    </w:p>
    <w:p>
      <w:pPr>
        <w:pStyle w:val="ListBullet"/>
      </w:pPr>
      <w:r>
        <w:rPr>
          <w:b w:val="0"/>
          <w:i w:val="0"/>
        </w:rPr>
        <w:t>Provável: os indícios são favoráveis, mas falta um elemento distintivo ou existe desgaste relevante.</w:t>
      </w:r>
    </w:p>
    <w:p>
      <w:pPr>
        <w:pStyle w:val="ListBullet"/>
      </w:pPr>
      <w:r>
        <w:rPr>
          <w:b w:val="0"/>
          <w:i w:val="0"/>
        </w:rPr>
        <w:t>Possível: a hipótese é compatível com alguns dados, sem permitir afastar alternativas importantes.</w:t>
      </w:r>
    </w:p>
    <w:p>
      <w:pPr>
        <w:pStyle w:val="ListBullet"/>
      </w:pPr>
      <w:r>
        <w:rPr>
          <w:b w:val="0"/>
          <w:i w:val="0"/>
        </w:rPr>
        <w:t>Não identificada: não há base suficiente para apontar uma atribuição responsável.</w:t>
      </w:r>
    </w:p>
    <w:p>
      <w:r>
        <w:rPr>
          <w:b w:val="0"/>
          <w:i w:val="0"/>
        </w:rPr>
        <w:t>Exemplo de documentação prudente: o registro de uma moeda provincial atribuída a Pérgamo pode indicar uma série monetária conhecida e citar um intervalo de tipos do Roman Provincial Coinage, quando a variante individual não está preservada. Essa prática é preferível à precisão aparente sem base material.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77"/>
        <w:gridCol w:w="1361"/>
      </w:tblGrid>
      <w:tr>
        <w:tc>
          <w:tcPr>
            <w:tcW w:type="dxa" w:w="4819"/>
            <w:shd w:fill="EEF2F4"/>
            <w:tcMar>
              <w:top w:w="145" w:type="dxa"/>
              <w:bottom w:w="145" w:type="dxa"/>
              <w:left w:w="180" w:type="dxa"/>
              <w:right w:w="120" w:type="dxa"/>
            </w:tcMar>
          </w:tcPr>
          <w:p>
            <w:r>
              <w:rPr>
                <w:b/>
                <w:i w:val="0"/>
                <w:color w:val="203848"/>
                <w:sz w:val="16"/>
              </w:rPr>
              <w:t>CONTINUE SUA PESQUISA NA TH NUMISMÁTICA</w:t>
            </w:r>
          </w:p>
          <w:p>
            <w:pPr>
              <w:spacing w:after="60"/>
            </w:pPr>
            <w:r>
              <w:rPr>
                <w:b w:val="0"/>
                <w:i w:val="0"/>
                <w:color w:val="53616A"/>
                <w:sz w:val="16"/>
              </w:rPr>
              <w:t>Consulte exemplos de fichas de moedas romanas provinciais, gregas e bizantinas no Acervo Digital TH. A documentação permanece acessível após a venda.</w:t>
            </w:r>
          </w:p>
          <w:p>
            <w:hyperlink r:id="rId11">
              <w:r>
                <w:rPr>
                  <w:color w:val="1C6881"/>
                  <w:u w:val="single"/>
                </w:rPr>
                <w:t>Conheça as moedas disponíveis</w:t>
              </w:r>
            </w:hyperlink>
            <w:r>
              <w:rPr>
                <w:b w:val="0"/>
                <w:i w:val="0"/>
                <w:color w:val="53616A"/>
                <w:sz w:val="16"/>
              </w:rPr>
              <w:t xml:space="preserve">  |  </w:t>
            </w:r>
            <w:hyperlink r:id="rId12">
              <w:r>
                <w:rPr>
                  <w:color w:val="1C6881"/>
                  <w:u w:val="single"/>
                </w:rPr>
                <w:t>Acervo Digital TH</w:t>
              </w:r>
            </w:hyperlink>
          </w:p>
        </w:tc>
        <w:tc>
          <w:tcPr>
            <w:tcW w:type="dxa" w:w="481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cata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Heading1"/>
      </w:pPr>
      <w:r>
        <w:t>Fontes para aprofundamento</w:t>
      </w:r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TH Numismática. Jornada do Colecionador. </w:t>
      </w:r>
      <w:hyperlink r:id="rId14">
        <w:r>
          <w:rPr>
            <w:color w:val="1C6881"/>
            <w:u w:val="single"/>
          </w:rPr>
          <w:t>https://thnumismatica.com.br/jornada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TH Numismática. Acervo Digital. </w:t>
      </w:r>
      <w:hyperlink r:id="rId12">
        <w:r>
          <w:rPr>
            <w:color w:val="1C6881"/>
            <w:u w:val="single"/>
          </w:rPr>
          <w:t>https://thnumismatica.com.br/acervo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American Numismatic Association. Coin Collecting FAQs. </w:t>
      </w:r>
      <w:hyperlink r:id="rId15">
        <w:r>
          <w:rPr>
            <w:color w:val="1C6881"/>
            <w:u w:val="single"/>
          </w:rPr>
          <w:t>https://www.money.org/FAQ/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Roman Provincial Coinage Online. Banco de dados acadêmico. </w:t>
      </w:r>
      <w:hyperlink r:id="rId16">
        <w:r>
          <w:rPr>
            <w:color w:val="1C6881"/>
            <w:u w:val="single"/>
          </w:rPr>
          <w:t>https://rpc.ashmus.ox.ac.uk/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Online Coins of the Roman Empire. American Numismatic Society. </w:t>
      </w:r>
      <w:hyperlink r:id="rId17">
        <w:r>
          <w:rPr>
            <w:color w:val="1C6881"/>
            <w:u w:val="single"/>
          </w:rPr>
          <w:t>https://numismatics.org/ocre/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077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3616A"/>
        <w:sz w:val="14"/>
      </w:rPr>
      <w:t xml:space="preserve">Material gratuito extraído de </w:t>
    </w:r>
    <w:r>
      <w:rPr>
        <w:b/>
        <w:i w:val="0"/>
        <w:color w:val="203848"/>
        <w:sz w:val="14"/>
      </w:rPr>
      <w:t>www.thnumismatica.com.br</w:t>
    </w:r>
    <w:r>
      <w:rPr>
        <w:b w:val="0"/>
        <w:i w:val="0"/>
        <w:color w:val="53616A"/>
        <w:sz w:val="14"/>
      </w:rPr>
      <w:t xml:space="preserve">  |  TH Numismática  |  Reprodução permitida com atribuição e link à fonte.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203848"/>
        <w:sz w:val="18"/>
      </w:rPr>
      <w:t xml:space="preserve">TH NUMISMÁTICA  </w:t>
    </w:r>
    <w:r>
      <w:rPr>
        <w:b w:val="0"/>
        <w:i w:val="0"/>
        <w:color w:val="B18B51"/>
        <w:sz w:val="16"/>
      </w:rPr>
      <w:t xml:space="preserve"> |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DejaVu Sans" w:hAnsi="DejaVu Sans"/>
      <w:color w:val="2038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8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84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00"/>
      <w:contextualSpacing/>
    </w:pPr>
    <w:rPr>
      <w:rFonts w:asciiTheme="majorHAnsi" w:eastAsiaTheme="majorEastAsia" w:hAnsiTheme="majorHAnsi" w:cstheme="majorBidi" w:ascii="DejaVu Sans" w:hAnsi="DejaVu Sans"/>
      <w:b/>
      <w:color w:val="2038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hnumismatica.com.br/moedas" TargetMode="External"/><Relationship Id="rId12" Type="http://schemas.openxmlformats.org/officeDocument/2006/relationships/hyperlink" Target="https://thnumismatica.com.br/acervo" TargetMode="External"/><Relationship Id="rId13" Type="http://schemas.openxmlformats.org/officeDocument/2006/relationships/image" Target="media/image1.png"/><Relationship Id="rId14" Type="http://schemas.openxmlformats.org/officeDocument/2006/relationships/hyperlink" Target="https://thnumismatica.com.br/jornada" TargetMode="External"/><Relationship Id="rId15" Type="http://schemas.openxmlformats.org/officeDocument/2006/relationships/hyperlink" Target="https://www.money.org/FAQ/" TargetMode="External"/><Relationship Id="rId16" Type="http://schemas.openxmlformats.org/officeDocument/2006/relationships/hyperlink" Target="https://rpc.ashmus.ox.ac.uk/" TargetMode="External"/><Relationship Id="rId17" Type="http://schemas.openxmlformats.org/officeDocument/2006/relationships/hyperlink" Target="https://numismatics.org/oc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numismática individual de moeda antiga</dc:title>
  <dc:subject>Biblioteca gratuita de ferramentas para colecionadores</dc:subject>
  <dc:creator>TH Numismática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