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976B3C"/>
          <w:sz w:val="16"/>
        </w:rPr>
        <w:t>MATERIAL 06   •   VERSÃO 1.1   •   OUTUBRO DE 2026</w:t>
      </w:r>
    </w:p>
    <w:p>
      <w:pPr>
        <w:pStyle w:val="Title"/>
      </w:pPr>
      <w:r>
        <w:t>Planejador de coleção de moedas antigas</w:t>
      </w:r>
    </w:p>
    <w:p>
      <w:pPr>
        <w:pStyle w:val="Subtitle"/>
      </w:pPr>
      <w:r>
        <w:t>Defina um recorte histórico, acompanhe suas metas e organize aquisições sem perder a finalidade cultural da coleção.</w:t>
      </w:r>
    </w:p>
    <w:tbl>
      <w:tblPr>
        <w:tblW w:type="auto" w:w="0"/>
        <w:tblLook w:firstColumn="1" w:firstRow="1" w:lastColumn="0" w:lastRow="0" w:noHBand="0" w:noVBand="1" w:val="04A0"/>
      </w:tblPr>
      <w:tblGrid>
        <w:gridCol w:w="7824"/>
        <w:gridCol w:w="1134"/>
      </w:tblGrid>
      <w:tr>
        <w:tc>
          <w:tcPr>
            <w:tcW w:type="dxa" w:w="4762"/>
            <w:shd w:fill="EDF2F4"/>
          </w:tcPr>
          <w:p>
            <w:r>
              <w:t>GRATUITO PARA COLECIONADORES  |  Documento produzido para uso educativo e organização de coleções.</w:t>
            </w:r>
          </w:p>
        </w:tc>
        <w:tc>
          <w:tcPr>
            <w:tcW w:type="dxa" w:w="4762"/>
            <w:shd w:fill="16354A"/>
          </w:tcPr>
          <w:p>
            <w:pPr>
              <w:jc w:val="center"/>
            </w:pPr>
            <w:r>
              <w:rPr>
                <w:b/>
                <w:color w:val="FFFFFF"/>
                <w:sz w:val="26"/>
              </w:rPr>
              <w:t>TH</w:t>
            </w:r>
          </w:p>
        </w:tc>
      </w:tr>
    </w:tbl>
    <w:p/>
    <w:p>
      <w:pPr>
        <w:pStyle w:val="Heading1"/>
      </w:pPr>
      <w:r>
        <w:t>1. Antes de comprar: dê um sentido à coleção</w:t>
      </w:r>
    </w:p>
    <w:p>
      <w:r>
        <w:t>Uma coleção se torna mais consistente quando possui um recorte definido. Ele pode ser cronológico (século IV), político (dinastia Constantiniana), territorial (províncias romanas), iconográfico (divindades) ou monetário (denários, antoninianos ou follis). Não é necessário escolher somente um. O importante é declarar o que entra e o que fica fora de cada projeto.</w:t>
      </w:r>
    </w:p>
    <w:tbl>
      <w:tblPr>
        <w:tblStyle w:val="TableGrid"/>
        <w:tblW w:type="auto" w:w="0"/>
        <w:jc w:val="center"/>
        <w:tblLook w:firstColumn="1" w:firstRow="1" w:lastColumn="0" w:lastRow="0" w:noHBand="0" w:noVBand="1" w:val="04A0"/>
      </w:tblPr>
      <w:tblGrid>
        <w:gridCol w:w="3175"/>
        <w:gridCol w:w="3175"/>
        <w:gridCol w:w="3175"/>
      </w:tblGrid>
      <w:tr>
        <w:tc>
          <w:tcPr>
            <w:tcW w:type="dxa" w:w="3175"/>
            <w:shd w:fill="16354A"/>
          </w:tcPr>
          <w:p>
            <w:r>
              <w:rPr>
                <w:b/>
                <w:color w:val="FFFFFF"/>
                <w:sz w:val="16"/>
              </w:rPr>
              <w:t>Linha de coleção</w:t>
            </w:r>
          </w:p>
        </w:tc>
        <w:tc>
          <w:tcPr>
            <w:tcW w:type="dxa" w:w="3175"/>
            <w:shd w:fill="16354A"/>
          </w:tcPr>
          <w:p>
            <w:r>
              <w:rPr>
                <w:b/>
                <w:color w:val="FFFFFF"/>
                <w:sz w:val="16"/>
              </w:rPr>
              <w:t>Objetivo possível</w:t>
            </w:r>
          </w:p>
        </w:tc>
        <w:tc>
          <w:tcPr>
            <w:tcW w:type="dxa" w:w="3175"/>
            <w:shd w:fill="16354A"/>
          </w:tcPr>
          <w:p>
            <w:r>
              <w:rPr>
                <w:b/>
                <w:color w:val="FFFFFF"/>
                <w:sz w:val="16"/>
              </w:rPr>
              <w:t>Questão útil</w:t>
            </w:r>
          </w:p>
        </w:tc>
      </w:tr>
      <w:tr>
        <w:tc>
          <w:tcPr>
            <w:tcW w:type="dxa" w:w="3175"/>
            <w:vAlign w:val="center"/>
          </w:tcPr>
          <w:p>
            <w:pPr>
              <w:spacing w:after="40"/>
            </w:pPr>
            <w:r>
              <w:rPr>
                <w:sz w:val="16"/>
              </w:rPr>
              <w:t>Imperadores romanos</w:t>
            </w:r>
          </w:p>
        </w:tc>
        <w:tc>
          <w:tcPr>
            <w:tcW w:type="dxa" w:w="3175"/>
            <w:vAlign w:val="center"/>
          </w:tcPr>
          <w:p>
            <w:pPr>
              <w:spacing w:after="40"/>
            </w:pPr>
            <w:r>
              <w:rPr>
                <w:sz w:val="16"/>
              </w:rPr>
              <w:t>Representar diferentes autoridades por meio de exemplares identificados.</w:t>
            </w:r>
          </w:p>
        </w:tc>
        <w:tc>
          <w:tcPr>
            <w:tcW w:type="dxa" w:w="3175"/>
            <w:vAlign w:val="center"/>
          </w:tcPr>
          <w:p>
            <w:pPr>
              <w:spacing w:after="40"/>
            </w:pPr>
            <w:r>
              <w:rPr>
                <w:sz w:val="16"/>
              </w:rPr>
              <w:t>Quais governantes já possuo?</w:t>
            </w:r>
          </w:p>
        </w:tc>
      </w:tr>
      <w:tr>
        <w:tc>
          <w:tcPr>
            <w:tcW w:type="dxa" w:w="3175"/>
            <w:shd w:fill="F3F6F8"/>
            <w:vAlign w:val="center"/>
          </w:tcPr>
          <w:p>
            <w:pPr>
              <w:spacing w:after="40"/>
            </w:pPr>
            <w:r>
              <w:rPr>
                <w:sz w:val="16"/>
              </w:rPr>
              <w:t>Dinastia Constantiniana</w:t>
            </w:r>
          </w:p>
        </w:tc>
        <w:tc>
          <w:tcPr>
            <w:tcW w:type="dxa" w:w="3175"/>
            <w:shd w:fill="F3F6F8"/>
            <w:vAlign w:val="center"/>
          </w:tcPr>
          <w:p>
            <w:pPr>
              <w:spacing w:after="40"/>
            </w:pPr>
            <w:r>
              <w:rPr>
                <w:sz w:val="16"/>
              </w:rPr>
              <w:t>Comparar autoridades, reversos e oficinas de um recorte histórico.</w:t>
            </w:r>
          </w:p>
        </w:tc>
        <w:tc>
          <w:tcPr>
            <w:tcW w:type="dxa" w:w="3175"/>
            <w:shd w:fill="F3F6F8"/>
            <w:vAlign w:val="center"/>
          </w:tcPr>
          <w:p>
            <w:pPr>
              <w:spacing w:after="40"/>
            </w:pPr>
            <w:r>
              <w:rPr>
                <w:sz w:val="16"/>
              </w:rPr>
              <w:t>Há diferentes tipos e variantes?</w:t>
            </w:r>
          </w:p>
        </w:tc>
      </w:tr>
      <w:tr>
        <w:tc>
          <w:tcPr>
            <w:tcW w:type="dxa" w:w="3175"/>
            <w:vAlign w:val="center"/>
          </w:tcPr>
          <w:p>
            <w:pPr>
              <w:spacing w:after="40"/>
            </w:pPr>
            <w:r>
              <w:rPr>
                <w:sz w:val="16"/>
              </w:rPr>
              <w:t>Províncias romanas</w:t>
            </w:r>
          </w:p>
        </w:tc>
        <w:tc>
          <w:tcPr>
            <w:tcW w:type="dxa" w:w="3175"/>
            <w:vAlign w:val="center"/>
          </w:tcPr>
          <w:p>
            <w:pPr>
              <w:spacing w:after="40"/>
            </w:pPr>
            <w:r>
              <w:rPr>
                <w:sz w:val="16"/>
              </w:rPr>
              <w:t>Pesquisar moedas cívicas, cidades e iconografia local.</w:t>
            </w:r>
          </w:p>
        </w:tc>
        <w:tc>
          <w:tcPr>
            <w:tcW w:type="dxa" w:w="3175"/>
            <w:vAlign w:val="center"/>
          </w:tcPr>
          <w:p>
            <w:pPr>
              <w:spacing w:after="40"/>
            </w:pPr>
            <w:r>
              <w:rPr>
                <w:sz w:val="16"/>
              </w:rPr>
              <w:t>A cidade e o tipo estão corretamente atribuídos?</w:t>
            </w:r>
          </w:p>
        </w:tc>
      </w:tr>
      <w:tr>
        <w:tc>
          <w:tcPr>
            <w:tcW w:type="dxa" w:w="3175"/>
            <w:shd w:fill="F3F6F8"/>
            <w:vAlign w:val="center"/>
          </w:tcPr>
          <w:p>
            <w:pPr>
              <w:spacing w:after="40"/>
            </w:pPr>
            <w:r>
              <w:rPr>
                <w:sz w:val="16"/>
              </w:rPr>
              <w:t>Reino Ptolomaico</w:t>
            </w:r>
          </w:p>
        </w:tc>
        <w:tc>
          <w:tcPr>
            <w:tcW w:type="dxa" w:w="3175"/>
            <w:shd w:fill="F3F6F8"/>
            <w:vAlign w:val="center"/>
          </w:tcPr>
          <w:p>
            <w:pPr>
              <w:spacing w:after="40"/>
            </w:pPr>
            <w:r>
              <w:rPr>
                <w:sz w:val="16"/>
              </w:rPr>
              <w:t>Reunir exemplares com atribuição e referências verificáveis.</w:t>
            </w:r>
          </w:p>
        </w:tc>
        <w:tc>
          <w:tcPr>
            <w:tcW w:type="dxa" w:w="3175"/>
            <w:shd w:fill="F3F6F8"/>
            <w:vAlign w:val="center"/>
          </w:tcPr>
          <w:p>
            <w:pPr>
              <w:spacing w:after="40"/>
            </w:pPr>
            <w:r>
              <w:rPr>
                <w:sz w:val="16"/>
              </w:rPr>
              <w:t>Os dados de ceca e período são seguros?</w:t>
            </w:r>
          </w:p>
        </w:tc>
      </w:tr>
      <w:tr>
        <w:tc>
          <w:tcPr>
            <w:tcW w:type="dxa" w:w="3175"/>
            <w:vAlign w:val="center"/>
          </w:tcPr>
          <w:p>
            <w:pPr>
              <w:spacing w:after="40"/>
            </w:pPr>
            <w:r>
              <w:rPr>
                <w:sz w:val="16"/>
              </w:rPr>
              <w:t>Moedas bizantinas</w:t>
            </w:r>
          </w:p>
        </w:tc>
        <w:tc>
          <w:tcPr>
            <w:tcW w:type="dxa" w:w="3175"/>
            <w:vAlign w:val="center"/>
          </w:tcPr>
          <w:p>
            <w:pPr>
              <w:spacing w:after="40"/>
            </w:pPr>
            <w:r>
              <w:rPr>
                <w:sz w:val="16"/>
              </w:rPr>
              <w:t>Documentar autoridades, denominações e marcas de valor.</w:t>
            </w:r>
          </w:p>
        </w:tc>
        <w:tc>
          <w:tcPr>
            <w:tcW w:type="dxa" w:w="3175"/>
            <w:vAlign w:val="center"/>
          </w:tcPr>
          <w:p>
            <w:pPr>
              <w:spacing w:after="40"/>
            </w:pPr>
            <w:r>
              <w:rPr>
                <w:sz w:val="16"/>
              </w:rPr>
              <w:t>Consigo registrar ano e casa monetária?</w:t>
            </w:r>
          </w:p>
        </w:tc>
      </w:tr>
    </w:tbl>
    <w:p/>
    <w:p>
      <w:pPr>
        <w:pStyle w:val="Heading1"/>
      </w:pPr>
      <w:r>
        <w:t>2. Um método em cinco decisões</w:t>
      </w:r>
    </w:p>
    <w:p>
      <w:pPr>
        <w:pStyle w:val="ListBullet"/>
      </w:pPr>
      <w:r>
        <w:t>Escolha o tema e registre por que ele é importante para você.</w:t>
      </w:r>
    </w:p>
    <w:p>
      <w:pPr>
        <w:pStyle w:val="ListBullet"/>
      </w:pPr>
      <w:r>
        <w:t>Estabeleça uma meta flexível de quantidade ou diversidade, sem confundir quantidade com qualidade.</w:t>
      </w:r>
    </w:p>
    <w:p>
      <w:pPr>
        <w:pStyle w:val="ListBullet"/>
      </w:pPr>
      <w:r>
        <w:t>Defina um limite financeiro e reserve espaço para frete, comissões e tributos eventualmente aplicáveis.</w:t>
      </w:r>
    </w:p>
    <w:p>
      <w:pPr>
        <w:pStyle w:val="ListBullet"/>
      </w:pPr>
      <w:r>
        <w:t>Registre as peças recebidas e mantenha separada uma lista de desejos, para não confundir posse e intenção.</w:t>
      </w:r>
    </w:p>
    <w:p>
      <w:pPr>
        <w:pStyle w:val="ListBullet"/>
      </w:pPr>
      <w:r>
        <w:t>Reveja o plano periodicamente: uma atribuição pode mudar, e novas descobertas podem alterar prioridades.</w:t>
      </w:r>
    </w:p>
    <w:tbl>
      <w:tblPr>
        <w:tblW w:type="auto" w:w="0"/>
        <w:tblLook w:firstColumn="1" w:firstRow="1" w:lastColumn="0" w:lastRow="0" w:noHBand="0" w:noVBand="1" w:val="04A0"/>
      </w:tblPr>
      <w:tblGrid>
        <w:gridCol w:w="9524"/>
      </w:tblGrid>
      <w:tr>
        <w:tc>
          <w:tcPr>
            <w:tcW w:type="dxa" w:w="9524"/>
            <w:shd w:fill="EDF2F4"/>
          </w:tcPr>
          <w:p>
            <w:r/>
            <w:r>
              <w:rPr>
                <w:b/>
                <w:color w:val="976B3C"/>
              </w:rPr>
              <w:t xml:space="preserve">REGRA DE PRUDÊNCIA: </w:t>
            </w:r>
            <w:r>
              <w:t>Moedas antigas são objetos de interesse histórico e colecionável. Os valores de aquisição não representam promessa de valorização, nem substituem orçamento doméstico.</w:t>
            </w:r>
          </w:p>
        </w:tc>
      </w:tr>
    </w:tbl>
    <w:p/>
    <w:p>
      <w:pPr>
        <w:pStyle w:val="Heading1"/>
      </w:pPr>
      <w:r>
        <w:t>3. Como usar a planilha Excel que acompanha este guia</w:t>
      </w:r>
    </w:p>
    <w:tbl>
      <w:tblPr>
        <w:tblStyle w:val="TableGrid"/>
        <w:tblW w:type="auto" w:w="0"/>
        <w:jc w:val="center"/>
        <w:tblLook w:firstColumn="1" w:firstRow="1" w:lastColumn="0" w:lastRow="0" w:noHBand="0" w:noVBand="1" w:val="04A0"/>
      </w:tblPr>
      <w:tblGrid>
        <w:gridCol w:w="3175"/>
        <w:gridCol w:w="3175"/>
        <w:gridCol w:w="3175"/>
      </w:tblGrid>
      <w:tr>
        <w:tc>
          <w:tcPr>
            <w:tcW w:type="dxa" w:w="3175"/>
            <w:shd w:fill="16354A"/>
          </w:tcPr>
          <w:p>
            <w:r>
              <w:rPr>
                <w:b/>
                <w:color w:val="FFFFFF"/>
                <w:sz w:val="16"/>
              </w:rPr>
              <w:t>Aba</w:t>
            </w:r>
          </w:p>
        </w:tc>
        <w:tc>
          <w:tcPr>
            <w:tcW w:type="dxa" w:w="3175"/>
            <w:shd w:fill="16354A"/>
          </w:tcPr>
          <w:p>
            <w:r>
              <w:rPr>
                <w:b/>
                <w:color w:val="FFFFFF"/>
                <w:sz w:val="16"/>
              </w:rPr>
              <w:t>O que preencher</w:t>
            </w:r>
          </w:p>
        </w:tc>
        <w:tc>
          <w:tcPr>
            <w:tcW w:type="dxa" w:w="3175"/>
            <w:shd w:fill="16354A"/>
          </w:tcPr>
          <w:p>
            <w:r>
              <w:rPr>
                <w:b/>
                <w:color w:val="FFFFFF"/>
                <w:sz w:val="16"/>
              </w:rPr>
              <w:t>O que a planilha calcula</w:t>
            </w:r>
          </w:p>
        </w:tc>
      </w:tr>
      <w:tr>
        <w:tc>
          <w:tcPr>
            <w:tcW w:type="dxa" w:w="3175"/>
            <w:vAlign w:val="center"/>
          </w:tcPr>
          <w:p>
            <w:pPr>
              <w:spacing w:after="40"/>
            </w:pPr>
            <w:r>
              <w:rPr>
                <w:sz w:val="16"/>
              </w:rPr>
              <w:t>Comece aqui</w:t>
            </w:r>
          </w:p>
        </w:tc>
        <w:tc>
          <w:tcPr>
            <w:tcW w:type="dxa" w:w="3175"/>
            <w:vAlign w:val="center"/>
          </w:tcPr>
          <w:p>
            <w:pPr>
              <w:spacing w:after="40"/>
            </w:pPr>
            <w:r>
              <w:rPr>
                <w:sz w:val="16"/>
              </w:rPr>
              <w:t>Leitura das convenções e dos campos.</w:t>
            </w:r>
          </w:p>
        </w:tc>
        <w:tc>
          <w:tcPr>
            <w:tcW w:type="dxa" w:w="3175"/>
            <w:vAlign w:val="center"/>
          </w:tcPr>
          <w:p>
            <w:pPr>
              <w:spacing w:after="40"/>
            </w:pPr>
            <w:r>
              <w:rPr>
                <w:sz w:val="16"/>
              </w:rPr>
              <w:t>Orientações permanentes.</w:t>
            </w:r>
          </w:p>
        </w:tc>
      </w:tr>
      <w:tr>
        <w:tc>
          <w:tcPr>
            <w:tcW w:type="dxa" w:w="3175"/>
            <w:shd w:fill="F3F6F8"/>
            <w:vAlign w:val="center"/>
          </w:tcPr>
          <w:p>
            <w:pPr>
              <w:spacing w:after="40"/>
            </w:pPr>
            <w:r>
              <w:rPr>
                <w:sz w:val="16"/>
              </w:rPr>
              <w:t>Metas</w:t>
            </w:r>
          </w:p>
        </w:tc>
        <w:tc>
          <w:tcPr>
            <w:tcW w:type="dxa" w:w="3175"/>
            <w:shd w:fill="F3F6F8"/>
            <w:vAlign w:val="center"/>
          </w:tcPr>
          <w:p>
            <w:pPr>
              <w:spacing w:after="40"/>
            </w:pPr>
            <w:r>
              <w:rPr>
                <w:sz w:val="16"/>
              </w:rPr>
              <w:t>Tema, quantidade desejada, orçamento e prioridade.</w:t>
            </w:r>
          </w:p>
        </w:tc>
        <w:tc>
          <w:tcPr>
            <w:tcW w:type="dxa" w:w="3175"/>
            <w:shd w:fill="F3F6F8"/>
            <w:vAlign w:val="center"/>
          </w:tcPr>
          <w:p>
            <w:pPr>
              <w:spacing w:after="40"/>
            </w:pPr>
            <w:r>
              <w:rPr>
                <w:sz w:val="16"/>
              </w:rPr>
              <w:t>Peças recebidas, faltantes, progresso e saldo por tema.</w:t>
            </w:r>
          </w:p>
        </w:tc>
      </w:tr>
      <w:tr>
        <w:tc>
          <w:tcPr>
            <w:tcW w:type="dxa" w:w="3175"/>
            <w:vAlign w:val="center"/>
          </w:tcPr>
          <w:p>
            <w:pPr>
              <w:spacing w:after="40"/>
            </w:pPr>
            <w:r>
              <w:rPr>
                <w:sz w:val="16"/>
              </w:rPr>
              <w:t>Aquisições</w:t>
            </w:r>
          </w:p>
        </w:tc>
        <w:tc>
          <w:tcPr>
            <w:tcW w:type="dxa" w:w="3175"/>
            <w:vAlign w:val="center"/>
          </w:tcPr>
          <w:p>
            <w:pPr>
              <w:spacing w:after="40"/>
            </w:pPr>
            <w:r>
              <w:rPr>
                <w:sz w:val="16"/>
              </w:rPr>
              <w:t>Código, status, tema, referências, preço, frete e taxas.</w:t>
            </w:r>
          </w:p>
        </w:tc>
        <w:tc>
          <w:tcPr>
            <w:tcW w:type="dxa" w:w="3175"/>
            <w:vAlign w:val="center"/>
          </w:tcPr>
          <w:p>
            <w:pPr>
              <w:spacing w:after="40"/>
            </w:pPr>
            <w:r>
              <w:rPr>
                <w:sz w:val="16"/>
              </w:rPr>
              <w:t>Custo total documentado de cada peça.</w:t>
            </w:r>
          </w:p>
        </w:tc>
      </w:tr>
      <w:tr>
        <w:tc>
          <w:tcPr>
            <w:tcW w:type="dxa" w:w="3175"/>
            <w:shd w:fill="F3F6F8"/>
            <w:vAlign w:val="center"/>
          </w:tcPr>
          <w:p>
            <w:pPr>
              <w:spacing w:after="40"/>
            </w:pPr>
            <w:r>
              <w:rPr>
                <w:sz w:val="16"/>
              </w:rPr>
              <w:t>Lista de desejos</w:t>
            </w:r>
          </w:p>
        </w:tc>
        <w:tc>
          <w:tcPr>
            <w:tcW w:type="dxa" w:w="3175"/>
            <w:shd w:fill="F3F6F8"/>
            <w:vAlign w:val="center"/>
          </w:tcPr>
          <w:p>
            <w:pPr>
              <w:spacing w:after="40"/>
            </w:pPr>
            <w:r>
              <w:rPr>
                <w:sz w:val="16"/>
              </w:rPr>
              <w:t>Moeda pretendida, referências, orçamento máximo e oferta observada.</w:t>
            </w:r>
          </w:p>
        </w:tc>
        <w:tc>
          <w:tcPr>
            <w:tcW w:type="dxa" w:w="3175"/>
            <w:shd w:fill="F3F6F8"/>
            <w:vAlign w:val="center"/>
          </w:tcPr>
          <w:p>
            <w:pPr>
              <w:spacing w:after="40"/>
            </w:pPr>
            <w:r>
              <w:rPr>
                <w:sz w:val="16"/>
              </w:rPr>
              <w:t>Diferença entre oferta e limite pessoal.</w:t>
            </w:r>
          </w:p>
        </w:tc>
      </w:tr>
      <w:tr>
        <w:tc>
          <w:tcPr>
            <w:tcW w:type="dxa" w:w="3175"/>
            <w:vAlign w:val="center"/>
          </w:tcPr>
          <w:p>
            <w:pPr>
              <w:spacing w:after="40"/>
            </w:pPr>
            <w:r>
              <w:rPr>
                <w:sz w:val="16"/>
              </w:rPr>
              <w:t>Painel</w:t>
            </w:r>
          </w:p>
        </w:tc>
        <w:tc>
          <w:tcPr>
            <w:tcW w:type="dxa" w:w="3175"/>
            <w:vAlign w:val="center"/>
          </w:tcPr>
          <w:p>
            <w:pPr>
              <w:spacing w:after="40"/>
            </w:pPr>
            <w:r>
              <w:rPr>
                <w:sz w:val="16"/>
              </w:rPr>
              <w:t>Não exige preenchimento direto.</w:t>
            </w:r>
          </w:p>
        </w:tc>
        <w:tc>
          <w:tcPr>
            <w:tcW w:type="dxa" w:w="3175"/>
            <w:vAlign w:val="center"/>
          </w:tcPr>
          <w:p>
            <w:pPr>
              <w:spacing w:after="40"/>
            </w:pPr>
            <w:r>
              <w:rPr>
                <w:sz w:val="16"/>
              </w:rPr>
              <w:t>Indicadores gerais do acervo e do planejamento.</w:t>
            </w:r>
          </w:p>
        </w:tc>
      </w:tr>
    </w:tbl>
    <w:p/>
    <w:p>
      <w:r>
        <w:t>As fórmulas consideram somente os registros marcados como “Recebida” na aba Aquisições para contabilizar moedas possuídas. Use a mesma grafia para o tema na aba Metas e na aba Aquisições, pois o agrupamento depende desse nome. Cada linha de aquisição corresponde a um exemplar físico, mesmo que duas moedas compartilhem uma referência catalográfica.</w:t>
      </w:r>
    </w:p>
    <w:p>
      <w:r>
        <w:t>Informe o custo em reais já efetivamente desembolsado. Caso não conheça determinado custo, deixe-o vazio e registre essa limitação nas observações. A planilha não converte moedas estrangeiras automaticamente nem estima valor de mercado.</w:t>
      </w:r>
    </w:p>
    <w:p>
      <w:pPr>
        <w:pStyle w:val="Heading1"/>
      </w:pPr>
      <w:r>
        <w:t>4. Planejamento financeiro e documental</w:t>
      </w:r>
    </w:p>
    <w:p>
      <w:pPr>
        <w:pStyle w:val="ListBullet"/>
      </w:pPr>
      <w:r>
        <w:t>Defina o limite anual total da coleção e um limite por tema.</w:t>
      </w:r>
    </w:p>
    <w:p>
      <w:pPr>
        <w:pStyle w:val="ListBullet"/>
      </w:pPr>
      <w:r>
        <w:t>Diferencie preço da peça, frete e custos adicionais; o campo “Total” soma somente os valores informados.</w:t>
      </w:r>
    </w:p>
    <w:p>
      <w:pPr>
        <w:pStyle w:val="ListBullet"/>
      </w:pPr>
      <w:r>
        <w:t>Guarde recibos, número de lote, fotografias, comunicações e referências associadas ao registro.</w:t>
      </w:r>
    </w:p>
    <w:p>
      <w:pPr>
        <w:pStyle w:val="ListBullet"/>
      </w:pPr>
      <w:r>
        <w:t>Não trate a ausência de procedência conhecida como prova de procedência ilícita; registre a informação como “não documentada”.</w:t>
      </w:r>
    </w:p>
    <w:p>
      <w:pPr>
        <w:pStyle w:val="ListBullet"/>
      </w:pPr>
      <w:r>
        <w:t>Evite a compra apenas para completar rapidamente uma série. Priorize peças que você consegue estudar e documentar.</w:t>
      </w:r>
    </w:p>
    <w:p>
      <w:pPr>
        <w:pStyle w:val="Heading1"/>
      </w:pPr>
      <w:r>
        <w:t>5. Revisão trimestral: cinco perguntas que valem mais que uma compra</w:t>
      </w:r>
    </w:p>
    <w:p>
      <w:pPr>
        <w:pStyle w:val="ListBullet"/>
      </w:pPr>
      <w:r>
        <w:t>O recorte da coleção continua interessante?</w:t>
      </w:r>
    </w:p>
    <w:p>
      <w:pPr>
        <w:pStyle w:val="ListBullet"/>
      </w:pPr>
      <w:r>
        <w:t>As atribuições históricas mais importantes estão fundamentadas?</w:t>
      </w:r>
    </w:p>
    <w:p>
      <w:pPr>
        <w:pStyle w:val="ListBullet"/>
      </w:pPr>
      <w:r>
        <w:t>Quantas moedas possuem fotografias e referências próprias?</w:t>
      </w:r>
    </w:p>
    <w:p>
      <w:pPr>
        <w:pStyle w:val="ListBullet"/>
      </w:pPr>
      <w:r>
        <w:t>Há peças desejadas redundantes ou que ultrapassam meu orçamento?</w:t>
      </w:r>
    </w:p>
    <w:p>
      <w:pPr>
        <w:pStyle w:val="ListBullet"/>
      </w:pPr>
      <w:r>
        <w:t>Quais lacunas poderão orientar uma próxima pesquisa ou aquisição?</w:t>
      </w:r>
    </w:p>
    <w:p>
      <w:pPr>
        <w:pStyle w:val="Heading1"/>
      </w:pPr>
      <w:r>
        <w:t>6. Exemplo de planejamento sem valor comercial presumido</w:t>
      </w:r>
    </w:p>
    <w:tbl>
      <w:tblPr>
        <w:tblStyle w:val="TableGrid"/>
        <w:tblW w:type="auto" w:w="0"/>
        <w:jc w:val="center"/>
        <w:tblLook w:firstColumn="1" w:firstRow="1" w:lastColumn="0" w:lastRow="0" w:noHBand="0" w:noVBand="1" w:val="04A0"/>
      </w:tblPr>
      <w:tblGrid>
        <w:gridCol w:w="1905"/>
        <w:gridCol w:w="1905"/>
        <w:gridCol w:w="1905"/>
        <w:gridCol w:w="1905"/>
        <w:gridCol w:w="1905"/>
      </w:tblGrid>
      <w:tr>
        <w:tc>
          <w:tcPr>
            <w:tcW w:type="dxa" w:w="1905"/>
            <w:shd w:fill="16354A"/>
          </w:tcPr>
          <w:p>
            <w:r>
              <w:rPr>
                <w:b/>
                <w:color w:val="FFFFFF"/>
                <w:sz w:val="16"/>
              </w:rPr>
              <w:t>Tema</w:t>
            </w:r>
          </w:p>
        </w:tc>
        <w:tc>
          <w:tcPr>
            <w:tcW w:type="dxa" w:w="1905"/>
            <w:shd w:fill="16354A"/>
          </w:tcPr>
          <w:p>
            <w:r>
              <w:rPr>
                <w:b/>
                <w:color w:val="FFFFFF"/>
                <w:sz w:val="16"/>
              </w:rPr>
              <w:t>Meta</w:t>
            </w:r>
          </w:p>
        </w:tc>
        <w:tc>
          <w:tcPr>
            <w:tcW w:type="dxa" w:w="1905"/>
            <w:shd w:fill="16354A"/>
          </w:tcPr>
          <w:p>
            <w:r>
              <w:rPr>
                <w:b/>
                <w:color w:val="FFFFFF"/>
                <w:sz w:val="16"/>
              </w:rPr>
              <w:t>Recebidas</w:t>
            </w:r>
          </w:p>
        </w:tc>
        <w:tc>
          <w:tcPr>
            <w:tcW w:type="dxa" w:w="1905"/>
            <w:shd w:fill="16354A"/>
          </w:tcPr>
          <w:p>
            <w:r>
              <w:rPr>
                <w:b/>
                <w:color w:val="FFFFFF"/>
                <w:sz w:val="16"/>
              </w:rPr>
              <w:t>Faltantes</w:t>
            </w:r>
          </w:p>
        </w:tc>
        <w:tc>
          <w:tcPr>
            <w:tcW w:type="dxa" w:w="1905"/>
            <w:shd w:fill="16354A"/>
          </w:tcPr>
          <w:p>
            <w:r>
              <w:rPr>
                <w:b/>
                <w:color w:val="FFFFFF"/>
                <w:sz w:val="16"/>
              </w:rPr>
              <w:t>Orçamento</w:t>
            </w:r>
          </w:p>
        </w:tc>
      </w:tr>
      <w:tr>
        <w:tc>
          <w:tcPr>
            <w:tcW w:type="dxa" w:w="1905"/>
            <w:vAlign w:val="center"/>
          </w:tcPr>
          <w:p>
            <w:pPr>
              <w:spacing w:after="40"/>
            </w:pPr>
            <w:r>
              <w:rPr>
                <w:sz w:val="16"/>
              </w:rPr>
              <w:t>Constantinianos</w:t>
            </w:r>
          </w:p>
        </w:tc>
        <w:tc>
          <w:tcPr>
            <w:tcW w:type="dxa" w:w="1905"/>
            <w:vAlign w:val="center"/>
          </w:tcPr>
          <w:p>
            <w:pPr>
              <w:spacing w:after="40"/>
            </w:pPr>
            <w:r>
              <w:rPr>
                <w:sz w:val="16"/>
              </w:rPr>
              <w:t>12</w:t>
            </w:r>
          </w:p>
        </w:tc>
        <w:tc>
          <w:tcPr>
            <w:tcW w:type="dxa" w:w="1905"/>
            <w:vAlign w:val="center"/>
          </w:tcPr>
          <w:p>
            <w:pPr>
              <w:spacing w:after="40"/>
            </w:pPr>
            <w:r>
              <w:rPr>
                <w:sz w:val="16"/>
              </w:rPr>
              <w:t>4</w:t>
            </w:r>
          </w:p>
        </w:tc>
        <w:tc>
          <w:tcPr>
            <w:tcW w:type="dxa" w:w="1905"/>
            <w:vAlign w:val="center"/>
          </w:tcPr>
          <w:p>
            <w:pPr>
              <w:spacing w:after="40"/>
            </w:pPr>
            <w:r>
              <w:rPr>
                <w:sz w:val="16"/>
              </w:rPr>
              <w:t>8</w:t>
            </w:r>
          </w:p>
        </w:tc>
        <w:tc>
          <w:tcPr>
            <w:tcW w:type="dxa" w:w="1905"/>
            <w:vAlign w:val="center"/>
          </w:tcPr>
          <w:p>
            <w:pPr>
              <w:spacing w:after="40"/>
            </w:pPr>
            <w:r>
              <w:rPr>
                <w:sz w:val="16"/>
              </w:rPr>
              <w:t>Valor definido pelo colecionador</w:t>
            </w:r>
          </w:p>
        </w:tc>
      </w:tr>
      <w:tr>
        <w:tc>
          <w:tcPr>
            <w:tcW w:type="dxa" w:w="1905"/>
            <w:shd w:fill="F3F6F8"/>
            <w:vAlign w:val="center"/>
          </w:tcPr>
          <w:p>
            <w:pPr>
              <w:spacing w:after="40"/>
            </w:pPr>
            <w:r>
              <w:rPr>
                <w:sz w:val="16"/>
              </w:rPr>
              <w:t>Bizantinas</w:t>
            </w:r>
          </w:p>
        </w:tc>
        <w:tc>
          <w:tcPr>
            <w:tcW w:type="dxa" w:w="1905"/>
            <w:shd w:fill="F3F6F8"/>
            <w:vAlign w:val="center"/>
          </w:tcPr>
          <w:p>
            <w:pPr>
              <w:spacing w:after="40"/>
            </w:pPr>
            <w:r>
              <w:rPr>
                <w:sz w:val="16"/>
              </w:rPr>
              <w:t>5</w:t>
            </w:r>
          </w:p>
        </w:tc>
        <w:tc>
          <w:tcPr>
            <w:tcW w:type="dxa" w:w="1905"/>
            <w:shd w:fill="F3F6F8"/>
            <w:vAlign w:val="center"/>
          </w:tcPr>
          <w:p>
            <w:pPr>
              <w:spacing w:after="40"/>
            </w:pPr>
            <w:r>
              <w:rPr>
                <w:sz w:val="16"/>
              </w:rPr>
              <w:t>1</w:t>
            </w:r>
          </w:p>
        </w:tc>
        <w:tc>
          <w:tcPr>
            <w:tcW w:type="dxa" w:w="1905"/>
            <w:shd w:fill="F3F6F8"/>
            <w:vAlign w:val="center"/>
          </w:tcPr>
          <w:p>
            <w:pPr>
              <w:spacing w:after="40"/>
            </w:pPr>
            <w:r>
              <w:rPr>
                <w:sz w:val="16"/>
              </w:rPr>
              <w:t>4</w:t>
            </w:r>
          </w:p>
        </w:tc>
        <w:tc>
          <w:tcPr>
            <w:tcW w:type="dxa" w:w="1905"/>
            <w:shd w:fill="F3F6F8"/>
            <w:vAlign w:val="center"/>
          </w:tcPr>
          <w:p>
            <w:pPr>
              <w:spacing w:after="40"/>
            </w:pPr>
            <w:r>
              <w:rPr>
                <w:sz w:val="16"/>
              </w:rPr>
              <w:t>Valor definido pelo colecionador</w:t>
            </w:r>
          </w:p>
        </w:tc>
      </w:tr>
    </w:tbl>
    <w:p/>
    <w:p>
      <w:r>
        <w:t>Os números acima são inteiramente ilustrativos e não correspondem a inventário real da TH ou à disponibilidade de produtos.</w:t>
      </w:r>
    </w:p>
    <w:p>
      <w:r>
        <w:t>Fonte: elaborado pela TH Numismática (thnumismatica.com.br) com base na estrutura de catalogação do seu catálogo e acervo digital.</w:t>
      </w:r>
    </w:p>
    <w:p>
      <w:r>
        <w:rPr>
          <w:b/>
        </w:rPr>
        <w:t xml:space="preserve">CONTINUE SUA PESQUISA NA TH NUMISMÁTICA. </w:t>
      </w:r>
      <w:r>
        <w:t xml:space="preserve">Uma coleção bem planejada começa pela pesquisa. Explore exemplares romanos, provinciais, gregos e bizantinos e compare as descrições de cada peça. </w:t>
      </w:r>
      <w:hyperlink r:id="rId11">
        <w:r>
          <w:rPr>
            <w:color w:val="23637F"/>
            <w:u w:val="single"/>
          </w:rPr>
          <w:t>Consulte o catálogo e o acervo em thnumismatica.com.br</w:t>
        </w:r>
      </w:hyperlink>
    </w:p>
    <w:sectPr w:rsidR="00FC693F" w:rsidRPr="0006063C" w:rsidSect="00034616">
      <w:headerReference w:type="default" r:id="rId9"/>
      <w:footerReference w:type="default" r:id="rId10"/>
      <w:pgSz w:w="11906" w:h="16838"/>
      <w:pgMar w:top="1020" w:right="1191" w:bottom="935" w:left="1191" w:header="454" w:footer="47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55768"/>
        <w:sz w:val="14"/>
      </w:rPr>
      <w:t>Arquivo extraído do site thnumismatica.com.br  |  Material 06  |  Versão 1.1  |  Outubro de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23637F"/>
        <w:sz w:val="14"/>
      </w:rPr>
      <w:t>TH NUMISMÁTICA    |    BIBLIOTECA GRATUITA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635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w:hAnsi="Aptos"/>
      <w:b/>
      <w:bCs/>
      <w:color w:val="16354A"/>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23637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6354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hnumismatica.com.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