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76B3C"/>
          <w:sz w:val="16"/>
        </w:rPr>
        <w:t>MATERIAL 08   •   VERSÃO 1.1   •   OUTUBRO DE 2026</w:t>
      </w:r>
    </w:p>
    <w:p>
      <w:pPr>
        <w:pStyle w:val="Title"/>
      </w:pPr>
      <w:r>
        <w:t>Catálogos e bases de dados numismáticos gratuitos</w:t>
      </w:r>
    </w:p>
    <w:p>
      <w:pPr>
        <w:pStyle w:val="Subtitle"/>
      </w:pPr>
      <w:r>
        <w:t>Guia comentado para pesquisar, comparar e registrar referências de moedas antigas.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824"/>
        <w:gridCol w:w="1134"/>
      </w:tblGrid>
      <w:tr>
        <w:tc>
          <w:tcPr>
            <w:tcW w:type="dxa" w:w="4762"/>
            <w:shd w:fill="EDF2F4"/>
          </w:tcPr>
          <w:p>
            <w:r>
              <w:t>GRATUITO PARA COLECIONADORES  |  Documento produzido para uso educativo e organização de coleções.</w:t>
            </w:r>
          </w:p>
        </w:tc>
        <w:tc>
          <w:tcPr>
            <w:tcW w:type="dxa" w:w="4762"/>
            <w:shd w:fill="16354A"/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TH</w:t>
            </w:r>
          </w:p>
        </w:tc>
      </w:tr>
    </w:tbl>
    <w:p/>
    <w:p>
      <w:pPr>
        <w:pStyle w:val="Heading1"/>
      </w:pPr>
      <w:r>
        <w:t>1. Escolha a base pela moeda, não apenas pelo nome do catálogo</w:t>
      </w:r>
    </w:p>
    <w:p>
      <w:r>
        <w:t>Moedas imperiais romanas, provinciais, republicanas, gregas, helenísticas e bizantinas pertencem a tradições catalográficas parcialmente distintas. A pesquisa é mais eficaz quando o colecionador identifica primeiro a civilização, a autoridade ou a cidade, o período aproximado e, sempre que possível, a legenda ou o tipo de reverso.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DF2F4"/>
          </w:tcPr>
          <w:p>
            <w:r/>
            <w:r>
              <w:rPr>
                <w:b/>
                <w:color w:val="976B3C"/>
              </w:rPr>
              <w:t xml:space="preserve">DISTINÇÃO ESSENCIAL: </w:t>
            </w:r>
            <w:r>
              <w:t>Um catálogo tipológico descreve tipos monetários; uma base de exemplares reúne objetos físicos de museus e outras coleções. A coincidência com um tipo auxilia a identificação, mas não prova autenticidade, procedência nem estado de conservação.</w:t>
            </w:r>
          </w:p>
        </w:tc>
      </w:tr>
    </w:tbl>
    <w:p/>
    <w:p>
      <w:pPr>
        <w:pStyle w:val="Heading1"/>
      </w:pPr>
      <w:r>
        <w:t>2. Dez referências digitais especialmente úteis</w:t>
      </w:r>
    </w:p>
    <w:p>
      <w:pPr>
        <w:pStyle w:val="Heading2"/>
      </w:pPr>
      <w:r>
        <w:t>01. OCRE | Online Coins of the Roman Empire</w:t>
      </w:r>
    </w:p>
    <w:p>
      <w:r>
        <w:t xml:space="preserve">Acesso: </w:t>
      </w:r>
      <w:hyperlink r:id="rId11">
        <w:r>
          <w:rPr>
            <w:color w:val="23637F"/>
            <w:u w:val="single"/>
          </w:rPr>
          <w:t>https://numismatics.org/ocre/</w:t>
        </w:r>
      </w:hyperlink>
    </w:p>
    <w:p>
      <w:r>
        <w:t>Para que usar: Moedas do Império Romano, com pesquisa por autoridade e tipo.</w:t>
      </w:r>
    </w:p>
    <w:p>
      <w:r>
        <w:t>Limite importante: Não substitui RPC para moedas provinciais romanas; variantes e lacunas exigem consulta adicional.</w:t>
      </w:r>
    </w:p>
    <w:p>
      <w:pPr>
        <w:pStyle w:val="Heading2"/>
      </w:pPr>
      <w:r>
        <w:t>02. RPC Online | Roman Provincial Coinage</w:t>
      </w:r>
    </w:p>
    <w:p>
      <w:r>
        <w:t xml:space="preserve">Acesso: </w:t>
      </w:r>
      <w:hyperlink r:id="rId12">
        <w:r>
          <w:rPr>
            <w:color w:val="23637F"/>
            <w:u w:val="single"/>
          </w:rPr>
          <w:t>https://rpc.ashmus.ox.ac.uk/</w:t>
        </w:r>
      </w:hyperlink>
    </w:p>
    <w:p>
      <w:r>
        <w:t>Para que usar: Moedas provinciais, cidades, retratos, tipos, inscrições e referências RPC.</w:t>
      </w:r>
    </w:p>
    <w:p>
      <w:r>
        <w:t>Limite importante: Alguns registros e volumes estão em processo de publicação ou revisão.</w:t>
      </w:r>
    </w:p>
    <w:p>
      <w:pPr>
        <w:pStyle w:val="Heading2"/>
      </w:pPr>
      <w:r>
        <w:t>03. CRRO | Coinage of the Roman Republic Online</w:t>
      </w:r>
    </w:p>
    <w:p>
      <w:r>
        <w:t xml:space="preserve">Acesso: </w:t>
      </w:r>
      <w:hyperlink r:id="rId13">
        <w:r>
          <w:rPr>
            <w:color w:val="23637F"/>
            <w:u w:val="single"/>
          </w:rPr>
          <w:t>https://numismatics.org/crro/</w:t>
        </w:r>
      </w:hyperlink>
    </w:p>
    <w:p>
      <w:r>
        <w:t>Para que usar: Moedas da República Romana e referências tipológicas correlatas.</w:t>
      </w:r>
    </w:p>
    <w:p>
      <w:r>
        <w:t>Limite importante: Não é a base principal para moedas imperiais posteriores.</w:t>
      </w:r>
    </w:p>
    <w:p>
      <w:pPr>
        <w:pStyle w:val="Heading2"/>
      </w:pPr>
      <w:r>
        <w:t>04. Corpus Nummorum</w:t>
      </w:r>
    </w:p>
    <w:p>
      <w:r>
        <w:t xml:space="preserve">Acesso: </w:t>
      </w:r>
      <w:hyperlink r:id="rId14">
        <w:r>
          <w:rPr>
            <w:color w:val="23637F"/>
            <w:u w:val="single"/>
          </w:rPr>
          <w:t>https://www.corpus-nummorum.eu/en</w:t>
        </w:r>
      </w:hyperlink>
    </w:p>
    <w:p>
      <w:r>
        <w:t>Para que usar: Especialmente útil para Trácia, Mísia, Trôade e Moesia Inferior.</w:t>
      </w:r>
    </w:p>
    <w:p>
      <w:r>
        <w:t>Limite importante: Cobertura territorial definida; não representa todas as províncias romanas.</w:t>
      </w:r>
    </w:p>
    <w:p>
      <w:pPr>
        <w:pStyle w:val="Heading2"/>
      </w:pPr>
      <w:r>
        <w:t>05. PCO | Ptolemaic Coins Online</w:t>
      </w:r>
    </w:p>
    <w:p>
      <w:r>
        <w:t xml:space="preserve">Acesso: </w:t>
      </w:r>
      <w:hyperlink r:id="rId15">
        <w:r>
          <w:rPr>
            <w:color w:val="23637F"/>
            <w:u w:val="single"/>
          </w:rPr>
          <w:t>https://numismatics.org/pco/</w:t>
        </w:r>
      </w:hyperlink>
    </w:p>
    <w:p>
      <w:r>
        <w:t>Para que usar: Tipos monetários dos soberanos ptolomaicos; pesquisa de moedas de bronze e metais preciosos.</w:t>
      </w:r>
    </w:p>
    <w:p>
      <w:r>
        <w:t>Limite importante: Atribuições e cronologias variam em grau de segurança.</w:t>
      </w:r>
    </w:p>
    <w:p>
      <w:pPr>
        <w:pStyle w:val="Heading2"/>
      </w:pPr>
      <w:r>
        <w:t>06. PELLA</w:t>
      </w:r>
    </w:p>
    <w:p>
      <w:r>
        <w:t xml:space="preserve">Acesso: </w:t>
      </w:r>
      <w:hyperlink r:id="rId16">
        <w:r>
          <w:rPr>
            <w:color w:val="23637F"/>
            <w:u w:val="single"/>
          </w:rPr>
          <w:t>https://numismatics.org/pella/</w:t>
        </w:r>
      </w:hyperlink>
    </w:p>
    <w:p>
      <w:r>
        <w:t>Para que usar: Monetagem dos reis macedônicos da dinastia argéada.</w:t>
      </w:r>
    </w:p>
    <w:p>
      <w:r>
        <w:t>Limite importante: Não abrange indistintamente toda a moeda grega antiga.</w:t>
      </w:r>
    </w:p>
    <w:p>
      <w:pPr>
        <w:pStyle w:val="Heading2"/>
      </w:pPr>
      <w:r>
        <w:t>07. SCO | Seleucid Coins Online</w:t>
      </w:r>
    </w:p>
    <w:p>
      <w:r>
        <w:t xml:space="preserve">Acesso: </w:t>
      </w:r>
      <w:hyperlink r:id="rId17">
        <w:r>
          <w:rPr>
            <w:color w:val="23637F"/>
            <w:u w:val="single"/>
          </w:rPr>
          <w:t>https://numismatics.org/sco/</w:t>
        </w:r>
      </w:hyperlink>
    </w:p>
    <w:p>
      <w:r>
        <w:t>Para que usar: Monetagem selêucida, tipos e referências especializadas.</w:t>
      </w:r>
    </w:p>
    <w:p>
      <w:r>
        <w:t>Limite importante: Seu escopo não equivale a um catálogo de todos os reinos helenísticos.</w:t>
      </w:r>
    </w:p>
    <w:p>
      <w:pPr>
        <w:pStyle w:val="Heading2"/>
      </w:pPr>
      <w:r>
        <w:t>08. MANTIS | Acervo da American Numismatic Society</w:t>
      </w:r>
    </w:p>
    <w:p>
      <w:r>
        <w:t xml:space="preserve">Acesso: </w:t>
      </w:r>
      <w:hyperlink r:id="rId18">
        <w:r>
          <w:rPr>
            <w:color w:val="23637F"/>
            <w:u w:val="single"/>
          </w:rPr>
          <w:t>https://numismatics.org/search/</w:t>
        </w:r>
      </w:hyperlink>
    </w:p>
    <w:p>
      <w:r>
        <w:t>Para que usar: Exemplares físicos do acervo institucional, inclusive fotografias e metadados.</w:t>
      </w:r>
    </w:p>
    <w:p>
      <w:r>
        <w:t>Limite importante: Um registro de objeto não equivale necessariamente a atribuição tipológica definitiva.</w:t>
      </w:r>
    </w:p>
    <w:p>
      <w:pPr>
        <w:pStyle w:val="Heading2"/>
      </w:pPr>
      <w:r>
        <w:t>09. Nomisma.org</w:t>
      </w:r>
    </w:p>
    <w:p>
      <w:r>
        <w:t xml:space="preserve">Acesso: </w:t>
      </w:r>
      <w:hyperlink r:id="rId19">
        <w:r>
          <w:rPr>
            <w:color w:val="23637F"/>
            <w:u w:val="single"/>
          </w:rPr>
          <w:t>https://nomisma.org/</w:t>
        </w:r>
      </w:hyperlink>
    </w:p>
    <w:p>
      <w:r>
        <w:t>Para que usar: Vocabulários e identificadores normalizados de autoridades, locais e conceitos numismáticos.</w:t>
      </w:r>
    </w:p>
    <w:p>
      <w:r>
        <w:t>Limite importante: Não é ferramenta de autenticação de moedas; exige atenção à terminologia.</w:t>
      </w:r>
    </w:p>
    <w:p>
      <w:pPr>
        <w:pStyle w:val="Heading2"/>
      </w:pPr>
      <w:r>
        <w:t>10. British Museum Collection Online</w:t>
      </w:r>
    </w:p>
    <w:p>
      <w:r>
        <w:t xml:space="preserve">Acesso: </w:t>
      </w:r>
      <w:hyperlink r:id="rId20">
        <w:r>
          <w:rPr>
            <w:color w:val="23637F"/>
            <w:u w:val="single"/>
          </w:rPr>
          <w:t>https://www.britishmuseum.org/collection</w:t>
        </w:r>
      </w:hyperlink>
    </w:p>
    <w:p>
      <w:r>
        <w:t>Para que usar: Registros museológicos e exemplares utilizados em comparação.</w:t>
      </w:r>
    </w:p>
    <w:p>
      <w:r>
        <w:t>Limite importante: Resultados heterogêneos; verificar o objeto exato e as condições de uso das imagens.</w:t>
      </w:r>
    </w:p>
    <w:p>
      <w:pPr>
        <w:pStyle w:val="Heading1"/>
      </w:pPr>
      <w:r>
        <w:t>3. Três percursos de investigação</w:t>
      </w:r>
    </w:p>
    <w:p>
      <w:pPr>
        <w:pStyle w:val="Heading1"/>
      </w:pPr>
      <w:r>
        <w:t>A. Moeda imperial romana</w:t>
      </w:r>
    </w:p>
    <w:p>
      <w:r>
        <w:t>Transcreva a legenda observável, pesquise autoridade e período provável no OCRE, compare anverso, reverso, denominação e oficina e anote o identificador do tipo. Se houver variantes de legenda ou de marca, mantenha a atribuição em aberto até a conferência.</w:t>
      </w:r>
    </w:p>
    <w:p>
      <w:pPr>
        <w:pStyle w:val="Heading1"/>
      </w:pPr>
      <w:r>
        <w:t>B. Moeda provincial de Pérgamo, na Mísia</w:t>
      </w:r>
    </w:p>
    <w:p>
      <w:r>
        <w:t>Separe o nome da cidade e a autoridade retratada; procure RPC Online e Corpus Nummorum. Compare tipologia, legendas gregas, busto e características do reverso. A referência à cidade ou ao “busto do Senado” anunciada por um vendedor deve ser tratada como hipótese a verificar, não como identificação automática.</w:t>
      </w:r>
    </w:p>
    <w:p>
      <w:pPr>
        <w:pStyle w:val="Heading1"/>
      </w:pPr>
      <w:r>
        <w:t>C. Moeda atribuída ao Reino Ptolomaico</w:t>
      </w:r>
    </w:p>
    <w:p>
      <w:r>
        <w:t>Pesquise em PCO e, complementarmente, no acervo da ANS. Observe águia, símbolos de campo, monogramas, bustos e módulo. Evite atribuir uma data precisa ou um soberano específico quando o tipo for compartilhado ou os detalhes decisivos estiverem ilegíveis.</w:t>
      </w:r>
    </w:p>
    <w:p>
      <w:pPr>
        <w:pStyle w:val="Heading1"/>
      </w:pPr>
      <w:r>
        <w:t>4. Roteiro documental de pesquisa reproduzível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type="dxa" w:w="4762"/>
            <w:shd w:fill="16354A"/>
          </w:tcPr>
          <w:p>
            <w:r>
              <w:rPr>
                <w:b/>
                <w:color w:val="FFFFFF"/>
                <w:sz w:val="16"/>
              </w:rPr>
              <w:t>Registro recomendado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Hipótese inicial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Autoridade, cidade, civilização ou denominação proposta, com fonte da hipótese.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Características observadas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Peso, diâmetro, metal aparente, legenda e elementos iconográficos visíveis.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Termos utilizados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Palavras exatas, inscrições e filtros empregados no portal.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Resultado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Nome da base, identificador, URL permanente quando existir, data da consulta.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Convergências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Elementos efetivamente coincidentes entre exemplar e tipo descrito.</w:t>
            </w:r>
          </w:p>
        </w:tc>
      </w:tr>
      <w:tr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Divergências</w:t>
            </w:r>
          </w:p>
        </w:tc>
        <w:tc>
          <w:tcPr>
            <w:tcW w:type="dxa" w:w="4762"/>
            <w:shd w:fill="F3F6F8"/>
            <w:vAlign w:val="center"/>
          </w:tcPr>
          <w:p>
            <w:pPr>
              <w:spacing w:after="40"/>
            </w:pPr>
            <w:r>
              <w:rPr>
                <w:sz w:val="16"/>
              </w:rPr>
              <w:t>Legendas incompletas, diferente oficina, atributos ausentes, características incompatíveis.</w:t>
            </w:r>
          </w:p>
        </w:tc>
      </w:tr>
      <w:tr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Conclusão</w:t>
            </w:r>
          </w:p>
        </w:tc>
        <w:tc>
          <w:tcPr>
            <w:tcW w:type="dxa" w:w="4762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Confirmado quanto ao tipo, provável, possível ou não identificado, conforme evidências.</w:t>
            </w:r>
          </w:p>
        </w:tc>
      </w:tr>
    </w:tbl>
    <w:p/>
    <w:p>
      <w:pPr>
        <w:pStyle w:val="Heading1"/>
      </w:pPr>
      <w:r>
        <w:t>5. Como citar sem criar uma referência inexistente</w:t>
      </w:r>
    </w:p>
    <w:p>
      <w:r>
        <w:t>Registre primeiro o identificador apresentado pela própria base e depois a bibliografia correspondente. Não crie um número RIC, RPC, SNG ou outra classificação somente com base na semelhança de imagens. Quando o catálogo indicar uma referência temporária, preserve essa condição no registro.</w:t>
      </w:r>
    </w:p>
    <w:p>
      <w:r>
        <w:t>Exemplo de notação genérica: Base consultada: RPC Online. Referência: [identificador exato exibido na página]. URL: [endereço específico]. Data de acesso: [dia/mês/ano]. Atribuição: [grau de confiança fundamentado].</w:t>
      </w:r>
    </w:p>
    <w:p>
      <w:pPr>
        <w:pStyle w:val="Heading1"/>
      </w:pPr>
      <w:r>
        <w:t>6. Atenção à qualidade da pesquisa</w:t>
      </w:r>
    </w:p>
    <w:p>
      <w:pPr>
        <w:pStyle w:val="ListBullet"/>
      </w:pPr>
      <w:r>
        <w:t>A imagem semelhante é um ponto de partida, não uma identificação completa.</w:t>
      </w:r>
    </w:p>
    <w:p>
      <w:pPr>
        <w:pStyle w:val="ListBullet"/>
      </w:pPr>
      <w:r>
        <w:t>Atribuições de ceca, data ou autoridade podem ser revistas por pesquisas posteriores.</w:t>
      </w:r>
    </w:p>
    <w:p>
      <w:pPr>
        <w:pStyle w:val="ListBullet"/>
      </w:pPr>
      <w:r>
        <w:t>Compare fotografias do anverso e do reverso e, quando relevante, das bordas.</w:t>
      </w:r>
    </w:p>
    <w:p>
      <w:pPr>
        <w:pStyle w:val="ListBullet"/>
      </w:pPr>
      <w:r>
        <w:t>Não trate catálogos científicos como laudos de autenticidade de um exemplar físico.</w:t>
      </w:r>
    </w:p>
    <w:p>
      <w:pPr>
        <w:pStyle w:val="ListBullet"/>
      </w:pPr>
      <w:r>
        <w:t>Antes de compartilhar fotografias de terceiros, confira licença, crédito e condições de reprodução.</w:t>
      </w:r>
    </w:p>
    <w:p>
      <w:pPr>
        <w:pStyle w:val="Heading1"/>
      </w:pPr>
      <w:r>
        <w:t>Fontes e leituras complementares</w:t>
      </w:r>
    </w:p>
    <w:p>
      <w:pPr>
        <w:spacing w:after="60"/>
      </w:pPr>
      <w:r>
        <w:t xml:space="preserve">RPC Online, apresentação oficial: </w:t>
      </w:r>
      <w:hyperlink r:id="rId12">
        <w:r>
          <w:rPr>
            <w:color w:val="23637F"/>
            <w:u w:val="single"/>
          </w:rPr>
          <w:t>https://rpc.ashmus.ox.ac.uk/</w:t>
        </w:r>
      </w:hyperlink>
    </w:p>
    <w:p>
      <w:pPr>
        <w:spacing w:after="60"/>
      </w:pPr>
      <w:r>
        <w:t xml:space="preserve">Corpus Nummorum, apresentação e escopo: </w:t>
      </w:r>
      <w:hyperlink r:id="rId14">
        <w:r>
          <w:rPr>
            <w:color w:val="23637F"/>
            <w:u w:val="single"/>
          </w:rPr>
          <w:t>https://www.corpus-nummorum.eu/en</w:t>
        </w:r>
      </w:hyperlink>
    </w:p>
    <w:p>
      <w:pPr>
        <w:spacing w:after="60"/>
      </w:pPr>
      <w:r>
        <w:t xml:space="preserve">Nomisma.org, repertório de conjuntos de dados: </w:t>
      </w:r>
      <w:hyperlink r:id="rId21">
        <w:r>
          <w:rPr>
            <w:color w:val="23637F"/>
            <w:u w:val="single"/>
          </w:rPr>
          <w:t>https://nomisma.org/datasets</w:t>
        </w:r>
      </w:hyperlink>
    </w:p>
    <w:p>
      <w:pPr>
        <w:spacing w:after="60"/>
      </w:pPr>
      <w:r>
        <w:t xml:space="preserve">British Museum, pesquisa de coleções: </w:t>
      </w:r>
      <w:hyperlink r:id="rId20">
        <w:r>
          <w:rPr>
            <w:color w:val="23637F"/>
            <w:u w:val="single"/>
          </w:rPr>
          <w:t>https://www.britishmuseum.org/collection</w:t>
        </w:r>
      </w:hyperlink>
    </w:p>
    <w:p>
      <w:pPr>
        <w:spacing w:after="60"/>
      </w:pPr>
      <w:r>
        <w:t xml:space="preserve">American Numismatic Society, recursos OCRE, PCO, CRRO, PELLA e SCO: </w:t>
      </w:r>
      <w:hyperlink r:id="rId22">
        <w:r>
          <w:rPr>
            <w:color w:val="23637F"/>
            <w:u w:val="single"/>
          </w:rPr>
          <w:t>https://numismatics.org/</w:t>
        </w:r>
      </w:hyperlink>
    </w:p>
    <w:p>
      <w:r>
        <w:rPr>
          <w:b/>
        </w:rPr>
        <w:t xml:space="preserve">CONTINUE SUA PESQUISA NA TH NUMISMÁTICA. </w:t>
      </w:r>
      <w:r>
        <w:t xml:space="preserve">Nas fichas do catálogo da TH, procure descrições, referências e fotografias reais para exercitar a comparação. O acervo da loja é uma porta de entrada para investigar a história monetária. </w:t>
      </w:r>
      <w:hyperlink r:id="rId23">
        <w:r>
          <w:rPr>
            <w:color w:val="23637F"/>
            <w:u w:val="single"/>
          </w:rPr>
          <w:t>Consulte o catálogo e o acervo em thnumismatica.com.br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91" w:bottom="935" w:left="1191" w:header="454" w:footer="47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55768"/>
        <w:sz w:val="14"/>
      </w:rPr>
      <w:t>Arquivo extraído do site thnumismatica.com.br  |  Material 08  |  Versão 1.1  |  Outubro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23637F"/>
        <w:sz w:val="14"/>
      </w:rPr>
      <w:t>TH NUMISMÁTICA    |    BIBLIOTECA GRATUITA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635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6354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3637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54A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numismatics.org/ocre/" TargetMode="External"/><Relationship Id="rId12" Type="http://schemas.openxmlformats.org/officeDocument/2006/relationships/hyperlink" Target="https://rpc.ashmus.ox.ac.uk/" TargetMode="External"/><Relationship Id="rId13" Type="http://schemas.openxmlformats.org/officeDocument/2006/relationships/hyperlink" Target="https://numismatics.org/crro/" TargetMode="External"/><Relationship Id="rId14" Type="http://schemas.openxmlformats.org/officeDocument/2006/relationships/hyperlink" Target="https://www.corpus-nummorum.eu/en" TargetMode="External"/><Relationship Id="rId15" Type="http://schemas.openxmlformats.org/officeDocument/2006/relationships/hyperlink" Target="https://numismatics.org/pco/" TargetMode="External"/><Relationship Id="rId16" Type="http://schemas.openxmlformats.org/officeDocument/2006/relationships/hyperlink" Target="https://numismatics.org/pella/" TargetMode="External"/><Relationship Id="rId17" Type="http://schemas.openxmlformats.org/officeDocument/2006/relationships/hyperlink" Target="https://numismatics.org/sco/" TargetMode="External"/><Relationship Id="rId18" Type="http://schemas.openxmlformats.org/officeDocument/2006/relationships/hyperlink" Target="https://numismatics.org/search/" TargetMode="External"/><Relationship Id="rId19" Type="http://schemas.openxmlformats.org/officeDocument/2006/relationships/hyperlink" Target="https://nomisma.org/" TargetMode="External"/><Relationship Id="rId20" Type="http://schemas.openxmlformats.org/officeDocument/2006/relationships/hyperlink" Target="https://www.britishmuseum.org/collection" TargetMode="External"/><Relationship Id="rId21" Type="http://schemas.openxmlformats.org/officeDocument/2006/relationships/hyperlink" Target="https://nomisma.org/datasets" TargetMode="External"/><Relationship Id="rId22" Type="http://schemas.openxmlformats.org/officeDocument/2006/relationships/hyperlink" Target="https://numismatics.org/" TargetMode="External"/><Relationship Id="rId23" Type="http://schemas.openxmlformats.org/officeDocument/2006/relationships/hyperlink" Target="https://thnumismatica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