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76B3C"/>
          <w:sz w:val="16"/>
        </w:rPr>
        <w:t>MATERIAL 09   •   VERSÃO 1.1   •   OUTUBRO DE 2026</w:t>
      </w:r>
    </w:p>
    <w:p>
      <w:pPr>
        <w:pStyle w:val="Title"/>
      </w:pPr>
      <w:r>
        <w:t>Comparador de moedas antigas antes da compra</w:t>
      </w:r>
    </w:p>
    <w:p>
      <w:pPr>
        <w:pStyle w:val="Subtitle"/>
      </w:pPr>
      <w:r>
        <w:t>Método de comparação documental, técnica e financeira de até cinco exemplares.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824"/>
        <w:gridCol w:w="1134"/>
      </w:tblGrid>
      <w:tr>
        <w:tc>
          <w:tcPr>
            <w:tcW w:type="dxa" w:w="4762"/>
            <w:shd w:fill="EDF2F4"/>
          </w:tcPr>
          <w:p>
            <w:r>
              <w:t>GRATUITO PARA COLECIONADORES  |  Documento produzido para uso educativo e organização de coleções.</w:t>
            </w:r>
          </w:p>
        </w:tc>
        <w:tc>
          <w:tcPr>
            <w:tcW w:type="dxa" w:w="4762"/>
            <w:shd w:fill="16354A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TH</w:t>
            </w:r>
          </w:p>
        </w:tc>
      </w:tr>
    </w:tbl>
    <w:p/>
    <w:p>
      <w:pPr>
        <w:pStyle w:val="Heading1"/>
      </w:pPr>
      <w:r>
        <w:t>1. Nem sempre a moeda mais barata é a melhor escolha</w:t>
      </w:r>
    </w:p>
    <w:p>
      <w:r>
        <w:t>Exemplares do mesmo tipo podem apresentar diferenças decisivas de legibilidade, centragem, integridade da superfície, correspondência com a referência publicada, documentação e custo final. Um comparador ajuda a registrar essas diferenças de modo organizado. Sua função é apoiar uma decisão pessoal, não precificar uma moeda nem emitir juízo técnico definitivo de autenticidade.</w:t>
      </w:r>
    </w:p>
    <w:p>
      <w:pPr>
        <w:pStyle w:val="Heading1"/>
      </w:pPr>
      <w:r>
        <w:t>2. O que deve ser comparado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Critério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Observação prática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Cuidado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Tipo e referência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Mesma denominação, autoridade, anverso, reverso e variante?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Não compare como idênticas peças de tipos diferentes.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Preço final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Preço da peça, frete e taxas efetivamente previstas.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Custos desconhecidos devem ser anotados como pendentes.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Peso e módulo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Dados observados e compatibilidade com o tipo proposto.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Variações isoladas não provam autenticidade.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Legibilidade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Inscrições, marcas, bustos e símbolos identificáveis.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Conservação aparente depende da qualidade das imagens.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Superfície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Corrosão, depósitos, porosidade, desgaste e alterações.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Fotos não substituem exame presencial ou especializado.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Centração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Quanto do tipo e das legendas está preservado no disco.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 preferência por centragem é variável, inclusive por período.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Documentação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Fotos do exemplar, referências e procedência documentada.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Ausência documental não significa falsidade ou ilicitude.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Adequação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Relação com tema e orçamento da coleção.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 aquisição deve atender ao seu próprio objetivo.</w:t>
            </w:r>
          </w:p>
        </w:tc>
      </w:tr>
    </w:tbl>
    <w:p/>
    <w:p>
      <w:pPr>
        <w:pStyle w:val="Heading1"/>
      </w:pPr>
      <w:r>
        <w:t>3. Como preencher a planilha comparativa</w:t>
      </w:r>
    </w:p>
    <w:p>
      <w:r>
        <w:t>Abra “Comparação”, identifique os cinco candidatos de A a E e informe os valores objetivos. Nas linhas subjetivas, atribua de 1 a 5 somente quando houver dados suficientes para observar o critério. Deixe o campo em branco quando o aspecto não puder ser avaliado. Na coluna de pesos, ajuste a importância de cada critério; a pontuação ponderada exclui notas não preenchidas.</w:t>
      </w:r>
    </w:p>
    <w:p>
      <w:r>
        <w:t>A planilha calcula o custo final pela soma dos valores informados e uma média ponderada de critérios escolhidos pelo usuário. Essas grandezas aparecem separadas: não existe pontuação geral que misture preço com atributos físicos. Todas as notas são pessoais, e nenhuma delas equivale a certificação ou recomendação de compra.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LIMITAÇÃO DA MÉDIA PONDERADA: </w:t>
            </w:r>
            <w:r>
              <w:t>Um candidato com informação incompleta pode apresentar nota aparentemente alta porque recebeu avaliação em poucos itens. Confira sempre o indicador de critérios respondidos e as observações. O número não substitui análise fundamentada.</w:t>
            </w:r>
          </w:p>
        </w:tc>
      </w:tr>
    </w:tbl>
    <w:p/>
    <w:p>
      <w:pPr>
        <w:pStyle w:val="Heading1"/>
      </w:pPr>
      <w:r>
        <w:t>4. Critérios subjetivos: régua de pontuação orientativa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Nota</w:t>
            </w:r>
          </w:p>
        </w:tc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Interpretação estritamente comparativa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1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Muito pouco satisfatório para o objetivo declarado.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Abaixo do desejado em relação aos demais candidatos.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3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Adequado, com ressalvas registradas.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4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Bom para o conjunto de comparação considerado.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5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Muito satisfatório para o objetivo declarado.</w:t>
            </w:r>
          </w:p>
        </w:tc>
      </w:tr>
    </w:tbl>
    <w:p/>
    <w:p>
      <w:r>
        <w:t>Use a mesma régua para todos os candidatos da mesma análise. Não traduza automaticamente essas notas para padrões profissionais de graduação e não utilize a coluna de documentação como “pontuação de autenticidade”.</w:t>
      </w:r>
    </w:p>
    <w:p>
      <w:pPr>
        <w:pStyle w:val="Heading1"/>
      </w:pPr>
      <w:r>
        <w:t>5. Folha imprimível: comparação rápida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shd w:fill="16354A"/>
          </w:tcPr>
          <w:p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type="dxa" w:w="2381"/>
            <w:shd w:fill="16354A"/>
          </w:tcPr>
          <w:p>
            <w:r>
              <w:rPr>
                <w:b/>
                <w:color w:val="FFFFFF"/>
                <w:sz w:val="16"/>
              </w:rPr>
              <w:t>Moeda A</w:t>
            </w:r>
          </w:p>
        </w:tc>
        <w:tc>
          <w:tcPr>
            <w:tcW w:type="dxa" w:w="2381"/>
            <w:shd w:fill="16354A"/>
          </w:tcPr>
          <w:p>
            <w:r>
              <w:rPr>
                <w:b/>
                <w:color w:val="FFFFFF"/>
                <w:sz w:val="16"/>
              </w:rPr>
              <w:t>Moeda B</w:t>
            </w:r>
          </w:p>
        </w:tc>
        <w:tc>
          <w:tcPr>
            <w:tcW w:type="dxa" w:w="2381"/>
            <w:shd w:fill="16354A"/>
          </w:tcPr>
          <w:p>
            <w:r>
              <w:rPr>
                <w:b/>
                <w:color w:val="FFFFFF"/>
                <w:sz w:val="16"/>
              </w:rPr>
              <w:t>Moeda C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Código ou link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Autoridade / tipo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Referência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Preço final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Peso e diâmetro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Pontos fortes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Ressalvas / dúvidas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  <w:tr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Decisão e justificativa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  <w:tc>
          <w:tcPr>
            <w:tcW w:type="dxa" w:w="2381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____________</w:t>
            </w:r>
          </w:p>
        </w:tc>
      </w:tr>
    </w:tbl>
    <w:p/>
    <w:p>
      <w:pPr>
        <w:pStyle w:val="Heading1"/>
      </w:pPr>
      <w:r>
        <w:t>6. Documentação da decisão</w:t>
      </w:r>
    </w:p>
    <w:p>
      <w:pPr>
        <w:pStyle w:val="ListBullet"/>
      </w:pPr>
      <w:r>
        <w:t>Registre a data de cada oferta, porque a disponibilidade pode mudar.</w:t>
      </w:r>
    </w:p>
    <w:p>
      <w:pPr>
        <w:pStyle w:val="ListBullet"/>
      </w:pPr>
      <w:r>
        <w:t>Guarde capturas ou URLs para identificar o exemplar que foi efetivamente analisado.</w:t>
      </w:r>
    </w:p>
    <w:p>
      <w:pPr>
        <w:pStyle w:val="ListBullet"/>
      </w:pPr>
      <w:r>
        <w:t>Identifique se o preço é fixo, estimativa de arremate ou proposta sujeita a comissões.</w:t>
      </w:r>
    </w:p>
    <w:p>
      <w:pPr>
        <w:pStyle w:val="ListBullet"/>
      </w:pPr>
      <w:r>
        <w:t>Não preencha campos desconhecidos com zero sem explicar o motivo.</w:t>
      </w:r>
    </w:p>
    <w:p>
      <w:pPr>
        <w:pStyle w:val="ListBullet"/>
      </w:pPr>
      <w:r>
        <w:t>Antes de comprar, confirme o vendedor, a peça, as condições de envio e as políticas aplicáveis.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CONHEÇA A TH NUMISMÁTICA: </w:t>
            </w:r>
            <w:r>
              <w:t>Use o comparador para analisar moedas romanas, gregas, provinciais ou bizantinas. As fichas individuais da TH fornecem elementos para uma comparação transparente. Consulte a biblioteca educativa, as fichas das moedas e o acervo digital em thnumismatica.com.br. O arquivo foi extraído do site TH Numismática e pode ser compartilhado gratuitamente com sua identificação preservada.</w:t>
            </w:r>
          </w:p>
        </w:tc>
      </w:tr>
    </w:tbl>
    <w:p/>
    <w:p>
      <w:pPr>
        <w:jc w:val="center"/>
      </w:pPr>
      <w:r>
        <w:rPr>
          <w:b/>
        </w:rPr>
        <w:t xml:space="preserve">Explore o acervo e o catálogo  </w:t>
      </w:r>
      <w:hyperlink r:id="rId11">
        <w:r>
          <w:rPr>
            <w:color w:val="23637F"/>
            <w:u w:val="single"/>
          </w:rPr>
          <w:t>thnumismatica.com.br</w:t>
        </w:r>
      </w:hyperlink>
    </w:p>
    <w:p>
      <w:r>
        <w:t>Fonte: elaborado pela TH Numismática (thnumismatica.com.br) a partir de sua prática de descrição e comparação de exemplares.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56000" cy="75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_t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935" w:left="1191" w:header="454" w:footer="47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55768"/>
        <w:sz w:val="14"/>
      </w:rPr>
      <w:t>Arquivo extraído do site thnumismatica.com.br  |  Material 09  |  Versão 1.1  |  Outubro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23637F"/>
        <w:sz w:val="14"/>
      </w:rPr>
      <w:t>TH NUMISMÁTICA    |  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635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635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3637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54A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