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Noto Sans" w:hAnsi="Noto Sans"/>
          <w:b/>
          <w:color w:val="A36F40"/>
          <w:sz w:val="16"/>
        </w:rPr>
        <w:t>FERRAMENTA GRATUITA 10   /   DICIONÁRIO DE CONSULTA   /   OUTUBRO DE 2026</w:t>
      </w:r>
    </w:p>
    <w:p>
      <w:pPr>
        <w:pStyle w:val="Title"/>
      </w:pPr>
      <w:r>
        <w:t>Decifrador de legendas de moedas romanas</w:t>
      </w:r>
    </w:p>
    <w:p>
      <w:r>
        <w:rPr>
          <w:rFonts w:ascii="Noto Sans" w:hAnsi="Noto Sans"/>
          <w:b w:val="0"/>
          <w:color w:val="526875"/>
          <w:sz w:val="20"/>
        </w:rPr>
        <w:t>Títulos, inscrições, fórmulas políticas e método de leitura para moedas imperiais e provinciais.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5"/>
        <w:gridCol w:w="1134"/>
      </w:tblGrid>
      <w:tr>
        <w:tc>
          <w:tcPr>
            <w:tcW w:type="dxa" w:w="4762"/>
            <w:shd w:fill="EFF4F4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USO EDUCATIVO | Material gratuito da TH Numismática. Reproduza com identificação da origem.</w:t>
            </w:r>
          </w:p>
        </w:tc>
        <w:tc>
          <w:tcPr>
            <w:tcW w:type="dxa" w:w="4762"/>
            <w:shd w:fill="193648"/>
          </w:tcPr>
          <w:p>
            <w:pPr>
              <w:jc w:val="center"/>
            </w:pPr>
            <w:r>
              <w:rPr>
                <w:rFonts w:ascii="Noto Sans" w:hAnsi="Noto Sans"/>
                <w:b/>
                <w:color w:val="FFFFFF"/>
                <w:sz w:val="24"/>
              </w:rPr>
              <w:t>TH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76000" cy="215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gen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15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" w:hAnsi="Noto Sans"/>
          <w:b w:val="0"/>
          <w:color w:val="526875"/>
          <w:sz w:val="14"/>
        </w:rPr>
        <w:t>Figura 1. Sequência de interpretação. A legenda isolada não identifica necessariamente uma emissão.</w:t>
      </w:r>
    </w:p>
    <w:p>
      <w:pPr>
        <w:pStyle w:val="Heading1"/>
      </w:pPr>
      <w:r>
        <w:t>1. Antes do dicionário: o que uma legenda realmente informa</w:t>
      </w:r>
    </w:p>
    <w:p>
      <w:r>
        <w:t>As letras em uma moeda antiga podem identificar a autoridade, indicar títulos e honrarias, exaltar virtudes, celebrar fatos políticos ou nomear o povo e a cidade emissora. Em moedas romanas imperiais, a combinação de retrato, inscrição, reverso, período e marcas é mais informativa do que qualquer abreviatura isolada. Não confunda leitura do que se vê com expansão conjectural do que falta.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CONVENÇÕES DE TRANSCRIÇÃO: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Use V quando a inscrição original utiliza V, mesmo que a pronúncia moderna aproxime U; marque [ ] para letras restituídas com fundamento, [...] para lacuna e (?) para leitura duvidosa. Não invente letras apagadas.</w:t>
            </w:r>
          </w:p>
        </w:tc>
      </w:tr>
    </w:tbl>
    <w:p/>
    <w:p>
      <w:pPr>
        <w:pStyle w:val="Heading1"/>
      </w:pPr>
      <w:r>
        <w:t>2. Dicionário essencial de títulos e cargos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2438"/>
        <w:gridCol w:w="4932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Inscrição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Desdobramento mais comum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Como interpretar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IMP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Imperator</w:t>
            </w:r>
          </w:p>
        </w:tc>
        <w:tc>
          <w:tcPr>
            <w:tcW w:type="dxa" w:w="493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Aclamação ou título imperial. Posição e período influenciam o sentido.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CAES / C / CAE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Caesar</w:t>
            </w:r>
          </w:p>
        </w:tc>
        <w:tc>
          <w:tcPr>
            <w:tcW w:type="dxa" w:w="493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Pode integrar a titulatura do governante ou assinalar hierarquia sucessória.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AVG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Augustus</w:t>
            </w:r>
          </w:p>
        </w:tc>
        <w:tc>
          <w:tcPr>
            <w:tcW w:type="dxa" w:w="493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Título imperial; o nome Augustus também aparece em diferentes fórmulas.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AVGG / AVGGG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Augusti</w:t>
            </w:r>
          </w:p>
        </w:tc>
        <w:tc>
          <w:tcPr>
            <w:tcW w:type="dxa" w:w="493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Indicação plural em contextos determinados; conferir emissão.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 N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Dominus noster</w:t>
            </w:r>
          </w:p>
        </w:tc>
        <w:tc>
          <w:tcPr>
            <w:tcW w:type="dxa" w:w="493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“Nosso senhor”; recorrente no período tardio.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 F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Pius Felix</w:t>
            </w:r>
          </w:p>
        </w:tc>
        <w:tc>
          <w:tcPr>
            <w:tcW w:type="dxa" w:w="493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“Piedoso e afortunado”; títulos honoríficos frequentes.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 P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Pater patriae</w:t>
            </w:r>
          </w:p>
        </w:tc>
        <w:tc>
          <w:tcPr>
            <w:tcW w:type="dxa" w:w="493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“Pai da pátria”; não confundir automaticamente com P P em legendas bizantinas.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 M / PONT MAX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Pontifex maximus</w:t>
            </w:r>
          </w:p>
        </w:tc>
        <w:tc>
          <w:tcPr>
            <w:tcW w:type="dxa" w:w="493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“Sumo pontífice”; registro de titulatura.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 P / TR POT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Tribunicia potestas</w:t>
            </w:r>
          </w:p>
        </w:tc>
        <w:tc>
          <w:tcPr>
            <w:tcW w:type="dxa" w:w="493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Poder tribunício; numeral pode indicar iteração temporal.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COS / CONS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Consul</w:t>
            </w:r>
          </w:p>
        </w:tc>
        <w:tc>
          <w:tcPr>
            <w:tcW w:type="dxa" w:w="493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Consulado; algarismos especificam exercício.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PROCOS / PRO COS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Proconsul</w:t>
            </w:r>
          </w:p>
        </w:tc>
        <w:tc>
          <w:tcPr>
            <w:tcW w:type="dxa" w:w="493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Título ou função proconsular.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GERM / DAC / PARTH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Germanicus / Dacicus / Parthicus</w:t>
            </w:r>
          </w:p>
        </w:tc>
        <w:tc>
          <w:tcPr>
            <w:tcW w:type="dxa" w:w="493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Epítetos de vitória; requerem contexto histórico.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NOB C / NOB CAES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Nobilissimus Caesar</w:t>
            </w:r>
          </w:p>
        </w:tc>
        <w:tc>
          <w:tcPr>
            <w:tcW w:type="dxa" w:w="493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“Nobilíssimo César”; comum no período tardio.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DIVVS / DIVA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Divus / Diva</w:t>
            </w:r>
          </w:p>
        </w:tc>
        <w:tc>
          <w:tcPr>
            <w:tcW w:type="dxa" w:w="493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Autoridade divinizada, usualmente em moeda memorial.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 / FIL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Filius</w:t>
            </w:r>
          </w:p>
        </w:tc>
        <w:tc>
          <w:tcPr>
            <w:tcW w:type="dxa" w:w="493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“Filho”; aparece em fórmulas genealógicas.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MAX / MAXIMVS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Maximus</w:t>
            </w:r>
          </w:p>
        </w:tc>
        <w:tc>
          <w:tcPr>
            <w:tcW w:type="dxa" w:w="493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“Máximo”; geralmente epíteto ou parte de titulatura.</w:t>
            </w:r>
          </w:p>
        </w:tc>
      </w:tr>
    </w:tbl>
    <w:p/>
    <w:p>
      <w:pPr>
        <w:pStyle w:val="Heading1"/>
      </w:pPr>
      <w:r>
        <w:t>3. Fórmulas recorrentes no reverso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2438"/>
        <w:gridCol w:w="4819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Legenda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Expressão latina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Leitura contextual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 C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Senatus consulto</w:t>
            </w:r>
          </w:p>
        </w:tc>
        <w:tc>
          <w:tcPr>
            <w:tcW w:type="dxa" w:w="481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Em numerosas emissões de bronze imperiais, remete à autoridade senatorial; não é marca de oficina.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PAX AVG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Pax Augusti</w:t>
            </w:r>
          </w:p>
        </w:tc>
        <w:tc>
          <w:tcPr>
            <w:tcW w:type="dxa" w:w="4819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 paz do Augusto, com variações de titularidade.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FEL TEMP REPARATIO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Felicium temporum reparatio</w:t>
            </w:r>
          </w:p>
        </w:tc>
        <w:tc>
          <w:tcPr>
            <w:tcW w:type="dxa" w:w="481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Ideia de renovação ou restauração de tempos felizes; tipo iconográfico variável.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GLORIA EXERCITVS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Gloria exercitus</w:t>
            </w:r>
          </w:p>
        </w:tc>
        <w:tc>
          <w:tcPr>
            <w:tcW w:type="dxa" w:w="4819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Glória do exército; comparar número de estandartes e a oficina.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SOLI INVICTO COMITI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Soli invicto comiti</w:t>
            </w:r>
          </w:p>
        </w:tc>
        <w:tc>
          <w:tcPr>
            <w:tcW w:type="dxa" w:w="481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Ao Sol invicto companheiro; tema solar tardo-imperial.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PROVIDENTIAE AVGG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Providentiae Augustorum</w:t>
            </w:r>
          </w:p>
        </w:tc>
        <w:tc>
          <w:tcPr>
            <w:tcW w:type="dxa" w:w="4819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À providência dos Augustos; verificar singular/plural.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CONCORDIA AVGG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Concordia Augustorum</w:t>
            </w:r>
          </w:p>
        </w:tc>
        <w:tc>
          <w:tcPr>
            <w:tcW w:type="dxa" w:w="481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Concordância ou harmonia entre os Augustos.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VICTORIA AVG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Victoria Augusti</w:t>
            </w:r>
          </w:p>
        </w:tc>
        <w:tc>
          <w:tcPr>
            <w:tcW w:type="dxa" w:w="4819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Vitória do Augusto; a figura e o campo distinguem emissões.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VOT / MVLT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Vota / Multis</w:t>
            </w:r>
          </w:p>
        </w:tc>
        <w:tc>
          <w:tcPr>
            <w:tcW w:type="dxa" w:w="481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Votos de aniversários de governo e expectativas futuras, conforme contexto.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RESTITVTOR ORBIS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Restitutor orbis</w:t>
            </w:r>
          </w:p>
        </w:tc>
        <w:tc>
          <w:tcPr>
            <w:tcW w:type="dxa" w:w="4819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Restaurador do mundo; título-programa propagandístico.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ROMAE AETERNAE</w:t>
            </w:r>
          </w:p>
        </w:tc>
        <w:tc>
          <w:tcPr>
            <w:tcW w:type="dxa" w:w="2438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Romae aeternae</w:t>
            </w:r>
          </w:p>
        </w:tc>
        <w:tc>
          <w:tcPr>
            <w:tcW w:type="dxa" w:w="481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À Roma eterna; frequentemente com personificação de Roma.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PIETAS AVG</w:t>
            </w:r>
          </w:p>
        </w:tc>
        <w:tc>
          <w:tcPr>
            <w:tcW w:type="dxa" w:w="2438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Pietas Augusti</w:t>
            </w:r>
          </w:p>
        </w:tc>
        <w:tc>
          <w:tcPr>
            <w:tcW w:type="dxa" w:w="4819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Piedade ou dever religioso e cívico atribuídos ao governante.</w:t>
            </w:r>
          </w:p>
        </w:tc>
      </w:tr>
    </w:tbl>
    <w:p/>
    <w:p>
      <w:pPr>
        <w:pStyle w:val="Heading1"/>
      </w:pPr>
      <w:r>
        <w:t>4. Os numerais importam tanto quanto os títulos</w:t>
      </w:r>
    </w:p>
    <w:p>
      <w:r>
        <w:t>TR P XII não é idêntico a TR P XIII: o numeral pode ser decisivo para o intervalo da emissão. COS II informa um segundo consulado, mas, isoladamente, não fornece necessariamente uma data de cunhagem. A numeração deve ser confrontada com cronologia de titulaturas, autoridade e tipo monetário.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3402"/>
        <w:gridCol w:w="4309"/>
      </w:tblGrid>
      <w:tr>
        <w:trPr>
          <w:tblHeader/>
        </w:trPr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Exemplo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Leitura segura</w:t>
            </w:r>
          </w:p>
        </w:tc>
        <w:tc>
          <w:tcPr>
            <w:tcW w:type="dxa" w:w="3175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O que ainda falta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TR P VI</w:t>
            </w:r>
          </w:p>
        </w:tc>
        <w:tc>
          <w:tcPr>
            <w:tcW w:type="dxa" w:w="340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Sexto exercício/contagem do poder tribunício, conforme convenção da emissão.</w:t>
            </w:r>
          </w:p>
        </w:tc>
        <w:tc>
          <w:tcPr>
            <w:tcW w:type="dxa" w:w="430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Saber qual autoridade e quando mudou a numeração.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COS III</w:t>
            </w:r>
          </w:p>
        </w:tc>
        <w:tc>
          <w:tcPr>
            <w:tcW w:type="dxa" w:w="3402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Terceiro consulado.</w:t>
            </w:r>
          </w:p>
        </w:tc>
        <w:tc>
          <w:tcPr>
            <w:tcW w:type="dxa" w:w="4309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Cruzar com titulatura, cunhagem e catálogo.</w:t>
            </w:r>
          </w:p>
        </w:tc>
      </w:tr>
      <w:tr>
        <w:trPr>
          <w:cantSplit/>
        </w:trPr>
        <w:tc>
          <w:tcPr>
            <w:tcW w:type="dxa" w:w="1531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VOT XX</w:t>
            </w:r>
          </w:p>
        </w:tc>
        <w:tc>
          <w:tcPr>
            <w:tcW w:type="dxa" w:w="3402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Fórmula votiva associada ao numeral vinte.</w:t>
            </w:r>
          </w:p>
        </w:tc>
        <w:tc>
          <w:tcPr>
            <w:tcW w:type="dxa" w:w="4309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Identificar contexto: votos cumpridos, esperados ou renovados.</w:t>
            </w:r>
          </w:p>
        </w:tc>
      </w:tr>
    </w:tbl>
    <w:p/>
    <w:p>
      <w:pPr>
        <w:pStyle w:val="Heading1"/>
      </w:pPr>
      <w:r>
        <w:t>5. Estudos guiados documentados</w:t>
      </w:r>
    </w:p>
    <w:p>
      <w:r>
        <w:rPr>
          <w:rFonts w:ascii="Noto Sans" w:hAnsi="Noto Sans"/>
          <w:b/>
          <w:color w:val="193648"/>
          <w:sz w:val="18"/>
        </w:rPr>
        <w:t xml:space="preserve">Exemplo A. RIC VII, Antioquia 45A. </w:t>
      </w:r>
      <w:r>
        <w:t>O registro OCRE apresenta, no anverso, “CONSTANT-INVS P F AVG” e, no reverso, “VICTORIA CONSTANTINI AVG”. A identificação tipológica depende também de busto, reverso e marca SMAN, não apenas de AVG.</w:t>
      </w:r>
    </w:p>
    <w:p>
      <w:r>
        <w:rPr>
          <w:rFonts w:ascii="Noto Sans" w:hAnsi="Noto Sans"/>
          <w:b/>
          <w:color w:val="193648"/>
          <w:sz w:val="18"/>
        </w:rPr>
        <w:t xml:space="preserve">Exemplo B. RIC VIII, Constantinopla 135. </w:t>
      </w:r>
      <w:r>
        <w:t>O OCRE documenta “D N CONSTAN-TIVS P F AVG”, “FEL TEMP RE-PARATIO” e marca de exergo CONSA com variantes. A separação de palavras nas descrições acadêmicas não significa necessariamente um espaço entre letras na moeda.</w:t>
      </w:r>
    </w:p>
    <w:p>
      <w:r>
        <w:rPr>
          <w:rFonts w:ascii="Noto Sans" w:hAnsi="Noto Sans"/>
          <w:b/>
          <w:color w:val="193648"/>
          <w:sz w:val="18"/>
        </w:rPr>
        <w:t xml:space="preserve">Exemplo C. Títulos parecidos, emissores diferentes. </w:t>
      </w:r>
      <w:r>
        <w:t>O artigo da NGC sobre Caracala e Heliogábalo mostra por que certas combinações de CAES, IMP, AVG, COS e TR P não devem ser lidas por palavras isoladas.</w:t>
      </w:r>
    </w:p>
    <w:p>
      <w:pPr>
        <w:pStyle w:val="Heading1"/>
      </w:pPr>
      <w:r>
        <w:t>6. Erros de identificação a evitar</w:t>
      </w:r>
    </w:p>
    <w:p>
      <w:pPr>
        <w:pStyle w:val="ListBullet"/>
        <w:ind w:left="340" w:hanging="142"/>
      </w:pPr>
      <w:r>
        <w:t>Concluir que toda moeda com AVG mostra o próprio Augusto, primeiro imperador.</w:t>
      </w:r>
    </w:p>
    <w:p>
      <w:pPr>
        <w:pStyle w:val="ListBullet"/>
        <w:ind w:left="340" w:hanging="142"/>
      </w:pPr>
      <w:r>
        <w:t>Tratar S C como identificador universal de uma casa monetária ou como sinônimo de autenticidade.</w:t>
      </w:r>
    </w:p>
    <w:p>
      <w:pPr>
        <w:pStyle w:val="ListBullet"/>
        <w:ind w:left="340" w:hanging="142"/>
      </w:pPr>
      <w:r>
        <w:t>Atribuir data exata por COS ou TR P sem consultar cronologia do governante.</w:t>
      </w:r>
    </w:p>
    <w:p>
      <w:pPr>
        <w:pStyle w:val="ListBullet"/>
        <w:ind w:left="340" w:hanging="142"/>
      </w:pPr>
      <w:r>
        <w:t>Expandir uma inscrição inteiramente ilegível porque o reverso se parece com outro.</w:t>
      </w:r>
    </w:p>
    <w:p>
      <w:pPr>
        <w:pStyle w:val="ListBullet"/>
        <w:ind w:left="340" w:hanging="142"/>
      </w:pPr>
      <w:r>
        <w:t>Misturar legendas latinas de moedas imperiais com fórmulas gregas de moedas provinciais.</w:t>
      </w:r>
    </w:p>
    <w:p>
      <w:pPr>
        <w:pStyle w:val="Heading1"/>
      </w:pPr>
      <w:r>
        <w:t>7. Ficha de leitura rápida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556"/>
      </w:tblGrid>
      <w:tr>
        <w:trPr>
          <w:tblHeader/>
        </w:trPr>
        <w:tc>
          <w:tcPr>
            <w:tcW w:type="dxa" w:w="4762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Campo de estudo</w:t>
            </w:r>
          </w:p>
        </w:tc>
        <w:tc>
          <w:tcPr>
            <w:tcW w:type="dxa" w:w="4762"/>
            <w:shd w:fill="193648"/>
          </w:tcPr>
          <w:p>
            <w:pPr>
              <w:spacing w:after="20"/>
            </w:pPr>
            <w:r>
              <w:rPr>
                <w:rFonts w:ascii="Noto Sans" w:hAnsi="Noto Sans"/>
                <w:b/>
                <w:color w:val="FFFFFF"/>
                <w:sz w:val="16"/>
              </w:rPr>
              <w:t>Preenchimento do colecionador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Código da moeda</w:t>
            </w:r>
          </w:p>
        </w:tc>
        <w:tc>
          <w:tcPr>
            <w:tcW w:type="dxa" w:w="555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Legenda observada no anverso</w:t>
            </w:r>
          </w:p>
        </w:tc>
        <w:tc>
          <w:tcPr>
            <w:tcW w:type="dxa" w:w="555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Legenda observada no reverso</w:t>
            </w:r>
          </w:p>
        </w:tc>
        <w:tc>
          <w:tcPr>
            <w:tcW w:type="dxa" w:w="555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Letras lacunosas ou duvidosas</w:t>
            </w:r>
          </w:p>
        </w:tc>
        <w:tc>
          <w:tcPr>
            <w:tcW w:type="dxa" w:w="555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Títulos e numerais interpretados</w:t>
            </w:r>
          </w:p>
        </w:tc>
        <w:tc>
          <w:tcPr>
            <w:tcW w:type="dxa" w:w="555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Marca monetária ou exergo</w:t>
            </w:r>
          </w:p>
        </w:tc>
        <w:tc>
          <w:tcPr>
            <w:tcW w:type="dxa" w:w="555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685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Referência e URL específica</w:t>
            </w:r>
          </w:p>
        </w:tc>
        <w:tc>
          <w:tcPr>
            <w:tcW w:type="dxa" w:w="5556"/>
            <w:vAlign w:val="center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Grau de segurança da atribuição</w:t>
            </w:r>
          </w:p>
        </w:tc>
        <w:tc>
          <w:tcPr>
            <w:tcW w:type="dxa" w:w="5556"/>
            <w:vAlign w:val="center"/>
            <w:shd w:fill="F4F7F8"/>
          </w:tcPr>
          <w:p>
            <w:pPr>
              <w:spacing w:after="30"/>
            </w:pPr>
            <w:r>
              <w:rPr>
                <w:rFonts w:ascii="Noto Sans" w:hAnsi="Noto Sans"/>
                <w:b w:val="0"/>
                <w:color w:val="193648"/>
                <w:sz w:val="15"/>
              </w:rPr>
              <w:t>________________________________________________</w:t>
            </w:r>
          </w:p>
        </w:tc>
      </w:tr>
    </w:tbl>
    <w:p/>
    <w:p>
      <w:pPr>
        <w:pStyle w:val="Heading1"/>
      </w:pPr>
      <w:r>
        <w:t>Fontes de conferência e exemplos documentados</w:t>
      </w:r>
    </w:p>
    <w:p>
      <w:r>
        <w:t>As indicações abaixo foram usadas para controlar a terminologia e orientar a pesquisa. Referências eletrônicas podem ser atualizadas por suas instituições mantenedoras.</w:t>
      </w:r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OCRE, RIC VII Antioquia 45A: </w:t>
      </w:r>
      <w:hyperlink r:id="rId12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OCRE, RIC VIII Constantinopla 135: </w:t>
      </w:r>
      <w:hyperlink r:id="rId13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NGC, discussão de titulaturas imperiais: </w:t>
      </w:r>
      <w:hyperlink r:id="rId14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OCRE, pesquisa por legenda: </w:t>
      </w:r>
      <w:hyperlink r:id="rId15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spacing w:after="40"/>
      </w:pPr>
      <w:r>
        <w:rPr>
          <w:rFonts w:ascii="Noto Sans" w:hAnsi="Noto Sans"/>
          <w:b/>
          <w:color w:val="193648"/>
          <w:sz w:val="16"/>
        </w:rPr>
        <w:t xml:space="preserve">• RPC Online, moedas provinciais: </w:t>
      </w:r>
      <w:hyperlink r:id="rId16">
        <w:r>
          <w:rPr>
            <w:color w:val="266C76"/>
            <w:u w:val="single"/>
            <w:rFonts w:ascii="Noto Sans" w:hAnsi="Noto Sans"/>
          </w:rPr>
          <w:t>acessar fonte</w:t>
        </w:r>
      </w:hyperlink>
    </w:p>
    <w:p>
      <w:pPr>
        <w:pStyle w:val="Heading1"/>
      </w:pPr>
      <w:r>
        <w:t>Continue seus estudos na TH Numismática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4F4"/>
          </w:tcPr>
          <w:p>
            <w:pPr>
              <w:spacing w:after="40"/>
            </w:pPr>
            <w:r/>
            <w:r>
              <w:rPr>
                <w:rFonts w:ascii="Noto Sans" w:hAnsi="Noto Sans"/>
                <w:b/>
                <w:color w:val="A36F40"/>
                <w:sz w:val="17"/>
              </w:rPr>
              <w:t xml:space="preserve">FERRAMENTA DISPONIBILIZADA PELA TH NUMISMÁTICA: </w:t>
            </w:r>
            <w:r>
              <w:rPr>
                <w:rFonts w:ascii="Noto Sans" w:hAnsi="Noto Sans"/>
                <w:b w:val="0"/>
                <w:color w:val="193648"/>
                <w:sz w:val="17"/>
              </w:rPr>
              <w:t>Depois de decifrar uma inscrição, procure tipos semelhantes no catálogo e nas fichas históricas da TH, conferindo cuidadosamente as características de cada exemplar. Consulte os artigos, o catálogo de moedas e os exemplares já documentados no acervo da TH Numismática. Este arquivo foi extraído do site thnumismatica.com.br. Compartilhe gratuitamente mantendo a identificação de origem.</w:t>
            </w:r>
          </w:p>
        </w:tc>
      </w:tr>
    </w:tbl>
    <w:p/>
    <w:p>
      <w:pPr>
        <w:jc w:val="center"/>
      </w:pPr>
      <w:hyperlink r:id="rId17">
        <w:r>
          <w:rPr>
            <w:color w:val="266C76"/>
            <w:u w:val="single"/>
            <w:rFonts w:ascii="Noto Sans" w:hAnsi="Noto Sans"/>
          </w:rPr>
          <w:t>Conheça o site TH Numismática: thnumismatica.com.br</w:t>
        </w:r>
      </w:hyperlink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72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191" w:bottom="879" w:left="1191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/>
        <w:b w:val="0"/>
        <w:color w:val="526875"/>
        <w:sz w:val="14"/>
      </w:rPr>
      <w:t xml:space="preserve">Arquivo extraído do site thnumismatica.com.br   •   Material 10   •   Versão 1.0   •   2026   |   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" w:hAnsi="Noto Sans"/>
        <w:b/>
        <w:color w:val="266C76"/>
        <w:sz w:val="14"/>
      </w:rPr>
      <w:t>TH NUMISMÁTICA   |   BIBLIOTECA DO COLECIONADOR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Noto Sans" w:hAnsi="Noto Sans"/>
      <w:color w:val="19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3648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266C7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Noto Sans" w:hAnsi="Noto Sans"/>
      <w:b/>
      <w:color w:val="19364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numismatics.org/ocre/id/ric.7.anch.45A" TargetMode="External"/><Relationship Id="rId13" Type="http://schemas.openxmlformats.org/officeDocument/2006/relationships/hyperlink" Target="https://numismatics.org/ocre/id/ric.8.cnp.135" TargetMode="External"/><Relationship Id="rId14" Type="http://schemas.openxmlformats.org/officeDocument/2006/relationships/hyperlink" Target="https://www.ngccoin.com/news/article/11976/ancients-antoninus-pius/" TargetMode="External"/><Relationship Id="rId15" Type="http://schemas.openxmlformats.org/officeDocument/2006/relationships/hyperlink" Target="https://numismatics.org/ocre/search" TargetMode="External"/><Relationship Id="rId16" Type="http://schemas.openxmlformats.org/officeDocument/2006/relationships/hyperlink" Target="https://rpc.ashmus.ox.ac.uk/" TargetMode="External"/><Relationship Id="rId17" Type="http://schemas.openxmlformats.org/officeDocument/2006/relationships/hyperlink" Target="https://thnumismatica.com.br" TargetMode="External"/><Relationship Id="rId1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