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rFonts w:ascii="Noto Sans" w:hAnsi="Noto Sans"/>
          <w:b/>
          <w:color w:val="A36F40"/>
          <w:sz w:val="16"/>
        </w:rPr>
        <w:t>FERRAMENTA GRATUITA 12   /   GUIA DE LEITURA   /   OUTUBRO DE 2026</w:t>
      </w:r>
    </w:p>
    <w:p>
      <w:pPr>
        <w:pStyle w:val="Title"/>
      </w:pPr>
      <w:r>
        <w:t>Decifrador de moedas bizantinas de bronze</w:t>
      </w:r>
    </w:p>
    <w:p>
      <w:r>
        <w:rPr>
          <w:rFonts w:ascii="Noto Sans" w:hAnsi="Noto Sans"/>
          <w:b w:val="0"/>
          <w:color w:val="526875"/>
          <w:sz w:val="20"/>
        </w:rPr>
        <w:t>Marcas de valor, oficinas, anos de reinado, tipos de busto e critérios de identificação responsável.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5"/>
        <w:gridCol w:w="1134"/>
      </w:tblGrid>
      <w:tr>
        <w:tc>
          <w:tcPr>
            <w:tcW w:type="dxa" w:w="4762"/>
            <w:shd w:fill="EFF4F4"/>
          </w:tcPr>
          <w:p>
            <w:pPr>
              <w:spacing w:after="4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USO EDUCATIVO | Material gratuito da TH Numismática. Reproduza com identificação da origem.</w:t>
            </w:r>
          </w:p>
        </w:tc>
        <w:tc>
          <w:tcPr>
            <w:tcW w:type="dxa" w:w="4762"/>
            <w:shd w:fill="193648"/>
          </w:tcPr>
          <w:p>
            <w:pPr>
              <w:jc w:val="center"/>
            </w:pPr>
            <w:r>
              <w:rPr>
                <w:rFonts w:ascii="Noto Sans" w:hAnsi="Noto Sans"/>
                <w:b/>
                <w:color w:val="FFFFFF"/>
                <w:sz w:val="24"/>
              </w:rPr>
              <w:t>TH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76000" cy="215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yz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215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Noto Sans" w:hAnsi="Noto Sans"/>
          <w:b w:val="0"/>
          <w:color w:val="526875"/>
          <w:sz w:val="14"/>
        </w:rPr>
        <w:t>Figura 1. Valores comuns nas séries pós-reforma, apresentados como orientação inicial, não como regra universal.</w:t>
      </w:r>
    </w:p>
    <w:p>
      <w:pPr>
        <w:pStyle w:val="Heading1"/>
      </w:pPr>
      <w:r>
        <w:t>1. Comece pela reforma de Anastácio I</w:t>
      </w:r>
    </w:p>
    <w:p>
      <w:r>
        <w:t>A reforma monetária iniciada sob Anastácio I em 498 tornou mais visíveis os múltiplos do nummus em emissões de bronze. Em muitas séries posteriores, uma letra grande no reverso expressa a denominação. A numeração e a organização das casas monetárias variaram no tempo e no espaço; por isso, o mesmo sinal isolado não fornece data nem identifica o imperador.</w:t>
      </w:r>
    </w:p>
    <w:p>
      <w:pPr>
        <w:pStyle w:val="Heading1"/>
      </w:pPr>
      <w:r>
        <w:t>2. Quadro dos valores mais encontrados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91"/>
        <w:gridCol w:w="1474"/>
        <w:gridCol w:w="2835"/>
        <w:gridCol w:w="3742"/>
      </w:tblGrid>
      <w:tr>
        <w:trPr>
          <w:tblHeader/>
        </w:trPr>
        <w:tc>
          <w:tcPr>
            <w:tcW w:type="dxa" w:w="2381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Sinal</w:t>
            </w:r>
          </w:p>
        </w:tc>
        <w:tc>
          <w:tcPr>
            <w:tcW w:type="dxa" w:w="2381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Valor usual</w:t>
            </w:r>
          </w:p>
        </w:tc>
        <w:tc>
          <w:tcPr>
            <w:tcW w:type="dxa" w:w="2381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Denominação convencional</w:t>
            </w:r>
          </w:p>
        </w:tc>
        <w:tc>
          <w:tcPr>
            <w:tcW w:type="dxa" w:w="2381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Ressalva</w:t>
            </w:r>
          </w:p>
        </w:tc>
      </w:tr>
      <w:tr>
        <w:trPr>
          <w:cantSplit/>
        </w:trPr>
        <w:tc>
          <w:tcPr>
            <w:tcW w:type="dxa" w:w="119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M</w:t>
            </w:r>
          </w:p>
        </w:tc>
        <w:tc>
          <w:tcPr>
            <w:tcW w:type="dxa" w:w="147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40 nummi</w:t>
            </w:r>
          </w:p>
        </w:tc>
        <w:tc>
          <w:tcPr>
            <w:tcW w:type="dxa" w:w="283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Follis</w:t>
            </w:r>
          </w:p>
        </w:tc>
        <w:tc>
          <w:tcPr>
            <w:tcW w:type="dxa" w:w="3742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É o valor representado em muitas emissões de bronze pós-498.</w:t>
            </w:r>
          </w:p>
        </w:tc>
      </w:tr>
      <w:tr>
        <w:trPr>
          <w:cantSplit/>
        </w:trPr>
        <w:tc>
          <w:tcPr>
            <w:tcW w:type="dxa" w:w="119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K</w:t>
            </w:r>
          </w:p>
        </w:tc>
        <w:tc>
          <w:tcPr>
            <w:tcW w:type="dxa" w:w="147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20 nummi</w:t>
            </w:r>
          </w:p>
        </w:tc>
        <w:tc>
          <w:tcPr>
            <w:tcW w:type="dxa" w:w="2835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Meio follis</w:t>
            </w:r>
          </w:p>
        </w:tc>
        <w:tc>
          <w:tcPr>
            <w:tcW w:type="dxa" w:w="3742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Não confundir com marca de oficina situada em outro lugar.</w:t>
            </w:r>
          </w:p>
        </w:tc>
      </w:tr>
      <w:tr>
        <w:trPr>
          <w:cantSplit/>
        </w:trPr>
        <w:tc>
          <w:tcPr>
            <w:tcW w:type="dxa" w:w="119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I</w:t>
            </w:r>
          </w:p>
        </w:tc>
        <w:tc>
          <w:tcPr>
            <w:tcW w:type="dxa" w:w="147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10 nummi</w:t>
            </w:r>
          </w:p>
        </w:tc>
        <w:tc>
          <w:tcPr>
            <w:tcW w:type="dxa" w:w="283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Decanummium</w:t>
            </w:r>
          </w:p>
        </w:tc>
        <w:tc>
          <w:tcPr>
            <w:tcW w:type="dxa" w:w="3742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A posição do sinal importa para diferenciá-lo de legenda ou data.</w:t>
            </w:r>
          </w:p>
        </w:tc>
      </w:tr>
      <w:tr>
        <w:trPr>
          <w:cantSplit/>
        </w:trPr>
        <w:tc>
          <w:tcPr>
            <w:tcW w:type="dxa" w:w="119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Є / E</w:t>
            </w:r>
          </w:p>
        </w:tc>
        <w:tc>
          <w:tcPr>
            <w:tcW w:type="dxa" w:w="147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5 nummi</w:t>
            </w:r>
          </w:p>
        </w:tc>
        <w:tc>
          <w:tcPr>
            <w:tcW w:type="dxa" w:w="2835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Pentanummium</w:t>
            </w:r>
          </w:p>
        </w:tc>
        <w:tc>
          <w:tcPr>
            <w:tcW w:type="dxa" w:w="3742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A forma gráfica pode se aproximar de um E.</w:t>
            </w:r>
          </w:p>
        </w:tc>
      </w:tr>
      <w:tr>
        <w:trPr>
          <w:cantSplit/>
        </w:trPr>
        <w:tc>
          <w:tcPr>
            <w:tcW w:type="dxa" w:w="119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Λ</w:t>
            </w:r>
          </w:p>
        </w:tc>
        <w:tc>
          <w:tcPr>
            <w:tcW w:type="dxa" w:w="147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30 nummi</w:t>
            </w:r>
          </w:p>
        </w:tc>
        <w:tc>
          <w:tcPr>
            <w:tcW w:type="dxa" w:w="283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Múltiplo de 30 nummi</w:t>
            </w:r>
          </w:p>
        </w:tc>
        <w:tc>
          <w:tcPr>
            <w:tcW w:type="dxa" w:w="3742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Denominação menos comum, não presente em toda a série.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524"/>
      </w:tblGrid>
      <w:tr>
        <w:tc>
          <w:tcPr>
            <w:tcW w:type="dxa" w:w="9524"/>
            <w:shd w:fill="EFF4F4"/>
          </w:tcPr>
          <w:p>
            <w:pPr>
              <w:spacing w:after="40"/>
            </w:pPr>
            <w:r/>
            <w:r>
              <w:rPr>
                <w:rFonts w:ascii="Noto Sans" w:hAnsi="Noto Sans"/>
                <w:b/>
                <w:color w:val="A36F40"/>
                <w:sz w:val="17"/>
              </w:rPr>
              <w:t xml:space="preserve">LEITURA RESPONSÁVEL: </w:t>
            </w:r>
            <w:r>
              <w:rPr>
                <w:rFonts w:ascii="Noto Sans" w:hAnsi="Noto Sans"/>
                <w:b w:val="0"/>
                <w:color w:val="193648"/>
                <w:sz w:val="17"/>
              </w:rPr>
              <w:t>O esquema aplica-se sobretudo a determinados bronzes bizantinos, não a todas as moedas bizantinas, nem a toda peça com letras M, K, I ou E. Moedas de ouro, prata e emissões mais tardias exigem outras referências.</w:t>
            </w:r>
          </w:p>
        </w:tc>
      </w:tr>
    </w:tbl>
    <w:p/>
    <w:p>
      <w:pPr>
        <w:pStyle w:val="Heading1"/>
      </w:pPr>
      <w:r>
        <w:t>3. Anatomia de um follis datado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38"/>
        <w:gridCol w:w="3118"/>
        <w:gridCol w:w="3685"/>
      </w:tblGrid>
      <w:tr>
        <w:trPr>
          <w:tblHeader/>
        </w:trPr>
        <w:tc>
          <w:tcPr>
            <w:tcW w:type="dxa" w:w="3175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Elemento visível</w:t>
            </w:r>
          </w:p>
        </w:tc>
        <w:tc>
          <w:tcPr>
            <w:tcW w:type="dxa" w:w="3175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Leitura possível</w:t>
            </w:r>
          </w:p>
        </w:tc>
        <w:tc>
          <w:tcPr>
            <w:tcW w:type="dxa" w:w="3175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O que confirmar</w:t>
            </w:r>
          </w:p>
        </w:tc>
      </w:tr>
      <w:tr>
        <w:trPr>
          <w:cantSplit/>
        </w:trPr>
        <w:tc>
          <w:tcPr>
            <w:tcW w:type="dxa" w:w="243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M central</w:t>
            </w:r>
          </w:p>
        </w:tc>
        <w:tc>
          <w:tcPr>
            <w:tcW w:type="dxa" w:w="311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Valor nominal de 40 nummi.</w:t>
            </w:r>
          </w:p>
        </w:tc>
        <w:tc>
          <w:tcPr>
            <w:tcW w:type="dxa" w:w="368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Tipo e série monetária.</w:t>
            </w:r>
          </w:p>
        </w:tc>
      </w:tr>
      <w:tr>
        <w:trPr>
          <w:cantSplit/>
        </w:trPr>
        <w:tc>
          <w:tcPr>
            <w:tcW w:type="dxa" w:w="243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ANNO</w:t>
            </w:r>
          </w:p>
        </w:tc>
        <w:tc>
          <w:tcPr>
            <w:tcW w:type="dxa" w:w="311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Introdução ao ano de reinado em determinadas séries.</w:t>
            </w:r>
          </w:p>
        </w:tc>
        <w:tc>
          <w:tcPr>
            <w:tcW w:type="dxa" w:w="3685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Presença de algarismos associados.</w:t>
            </w:r>
          </w:p>
        </w:tc>
      </w:tr>
      <w:tr>
        <w:trPr>
          <w:cantSplit/>
        </w:trPr>
        <w:tc>
          <w:tcPr>
            <w:tcW w:type="dxa" w:w="243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XII ou XIIII</w:t>
            </w:r>
          </w:p>
        </w:tc>
        <w:tc>
          <w:tcPr>
            <w:tcW w:type="dxa" w:w="311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Ano 12 ou 14 do reinado, se assim estiver indicado.</w:t>
            </w:r>
          </w:p>
        </w:tc>
        <w:tc>
          <w:tcPr>
            <w:tcW w:type="dxa" w:w="368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Regência, cronologia e convenção do catálogo.</w:t>
            </w:r>
          </w:p>
        </w:tc>
      </w:tr>
      <w:tr>
        <w:trPr>
          <w:cantSplit/>
        </w:trPr>
        <w:tc>
          <w:tcPr>
            <w:tcW w:type="dxa" w:w="243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A, B, Γ, Δ ou outras letras sob o M</w:t>
            </w:r>
          </w:p>
        </w:tc>
        <w:tc>
          <w:tcPr>
            <w:tcW w:type="dxa" w:w="311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Marca de oficina conforme série.</w:t>
            </w:r>
          </w:p>
        </w:tc>
        <w:tc>
          <w:tcPr>
            <w:tcW w:type="dxa" w:w="3685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Ceca e sequência de oficinas específica.</w:t>
            </w:r>
          </w:p>
        </w:tc>
      </w:tr>
      <w:tr>
        <w:trPr>
          <w:cantSplit/>
        </w:trPr>
        <w:tc>
          <w:tcPr>
            <w:tcW w:type="dxa" w:w="243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CON no exergo</w:t>
            </w:r>
          </w:p>
        </w:tc>
        <w:tc>
          <w:tcPr>
            <w:tcW w:type="dxa" w:w="311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Marca associada à Constantinopla nas séries pertinentes.</w:t>
            </w:r>
          </w:p>
        </w:tc>
        <w:tc>
          <w:tcPr>
            <w:tcW w:type="dxa" w:w="368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Data, reverso e correspondência bibliográfica.</w:t>
            </w:r>
          </w:p>
        </w:tc>
      </w:tr>
      <w:tr>
        <w:trPr>
          <w:cantSplit/>
        </w:trPr>
        <w:tc>
          <w:tcPr>
            <w:tcW w:type="dxa" w:w="243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Cruz acima do M</w:t>
            </w:r>
          </w:p>
        </w:tc>
        <w:tc>
          <w:tcPr>
            <w:tcW w:type="dxa" w:w="311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Elemento iconográfico ou marca conforme tipo.</w:t>
            </w:r>
          </w:p>
        </w:tc>
        <w:tc>
          <w:tcPr>
            <w:tcW w:type="dxa" w:w="3685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Diferenciar variantes do reverso.</w:t>
            </w:r>
          </w:p>
        </w:tc>
      </w:tr>
    </w:tbl>
    <w:p/>
    <w:p>
      <w:pPr>
        <w:pStyle w:val="Heading1"/>
      </w:pPr>
      <w:r>
        <w:t>4. Caso documentado: Justiniano I, Constantinopla</w:t>
      </w:r>
    </w:p>
    <w:p>
      <w:r>
        <w:t>O acervo do Ashmolean Museum apresenta um follis de Justiniano I (527 a 565), atribuído a Constantinopla e datado de 538 a 539, com ANNO XII, M, marca de oficina Γ e CON. A referência mostra que a combinação das marcas, e não apenas o M, sustenta a catalogação. Outros exemplares do museu documentam variantes de oficina para a mesma época.</w:t>
      </w:r>
    </w:p>
    <w:p>
      <w:pPr>
        <w:pStyle w:val="Heading1"/>
      </w:pPr>
      <w:r>
        <w:t>5. Retratos e legendas que exigem cuidado</w:t>
      </w:r>
    </w:p>
    <w:p>
      <w:pPr>
        <w:pStyle w:val="ListBullet"/>
        <w:ind w:left="340" w:hanging="142"/>
      </w:pPr>
      <w:r>
        <w:t>O busto frontal, o diadema, o capacete, o escudo e o globo crucífero auxiliam a restringir tipos e períodos.</w:t>
      </w:r>
    </w:p>
    <w:p>
      <w:pPr>
        <w:pStyle w:val="ListBullet"/>
        <w:ind w:left="340" w:hanging="142"/>
      </w:pPr>
      <w:r>
        <w:t>D N nas legendas latinas corresponde a Dominus noster (“nosso senhor”) em muitos tipos.</w:t>
      </w:r>
    </w:p>
    <w:p>
      <w:pPr>
        <w:pStyle w:val="ListBullet"/>
        <w:ind w:left="340" w:hanging="142"/>
      </w:pPr>
      <w:r>
        <w:t>A abreviatura P P encontrada em algumas legendas bizantinas não deve receber automaticamente o mesmo desdobramento usado em toda a numismática imperial romana.</w:t>
      </w:r>
    </w:p>
    <w:p>
      <w:pPr>
        <w:pStyle w:val="ListBullet"/>
        <w:ind w:left="340" w:hanging="142"/>
      </w:pPr>
      <w:r>
        <w:t>A inscrição pode mencionar soberano, soberana ou corresponsáveis pelo poder; compare com a iconografia.</w:t>
      </w:r>
    </w:p>
    <w:p>
      <w:pPr>
        <w:pStyle w:val="ListBullet"/>
        <w:ind w:left="340" w:hanging="142"/>
      </w:pPr>
      <w:r>
        <w:t>Não atribua exclusivamente a Justiniano uma peça apenas por ostentar um M grande ou por apresentar cruz no reverso.</w:t>
      </w:r>
    </w:p>
    <w:p>
      <w:pPr>
        <w:pStyle w:val="Heading1"/>
      </w:pPr>
      <w:r>
        <w:t>6. Casas monetárias: pistas de leitura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75"/>
        <w:gridCol w:w="2551"/>
        <w:gridCol w:w="3515"/>
      </w:tblGrid>
      <w:tr>
        <w:trPr>
          <w:tblHeader/>
        </w:trPr>
        <w:tc>
          <w:tcPr>
            <w:tcW w:type="dxa" w:w="3175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Marca observável em séries específicas</w:t>
            </w:r>
          </w:p>
        </w:tc>
        <w:tc>
          <w:tcPr>
            <w:tcW w:type="dxa" w:w="3175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Interpretação orientativa</w:t>
            </w:r>
          </w:p>
        </w:tc>
        <w:tc>
          <w:tcPr>
            <w:tcW w:type="dxa" w:w="3175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Cuidado</w:t>
            </w:r>
          </w:p>
        </w:tc>
      </w:tr>
      <w:tr>
        <w:trPr>
          <w:cantSplit/>
        </w:trPr>
        <w:tc>
          <w:tcPr>
            <w:tcW w:type="dxa" w:w="317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CON</w:t>
            </w:r>
          </w:p>
        </w:tc>
        <w:tc>
          <w:tcPr>
            <w:tcW w:type="dxa" w:w="255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Constantinopla.</w:t>
            </w:r>
          </w:p>
        </w:tc>
        <w:tc>
          <w:tcPr>
            <w:tcW w:type="dxa" w:w="351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Séries e períodos devem coincidir.</w:t>
            </w:r>
          </w:p>
        </w:tc>
      </w:tr>
      <w:tr>
        <w:trPr>
          <w:cantSplit/>
        </w:trPr>
        <w:tc>
          <w:tcPr>
            <w:tcW w:type="dxa" w:w="3175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NIKO</w:t>
            </w:r>
          </w:p>
        </w:tc>
        <w:tc>
          <w:tcPr>
            <w:tcW w:type="dxa" w:w="255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Nicomédia.</w:t>
            </w:r>
          </w:p>
        </w:tc>
        <w:tc>
          <w:tcPr>
            <w:tcW w:type="dxa" w:w="3515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Geralmente em bronzes de determinadas épocas.</w:t>
            </w:r>
          </w:p>
        </w:tc>
      </w:tr>
      <w:tr>
        <w:trPr>
          <w:cantSplit/>
        </w:trPr>
        <w:tc>
          <w:tcPr>
            <w:tcW w:type="dxa" w:w="317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KYZ</w:t>
            </w:r>
          </w:p>
        </w:tc>
        <w:tc>
          <w:tcPr>
            <w:tcW w:type="dxa" w:w="255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Cízico.</w:t>
            </w:r>
          </w:p>
        </w:tc>
        <w:tc>
          <w:tcPr>
            <w:tcW w:type="dxa" w:w="351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Não confundir com abreviação de coleção.</w:t>
            </w:r>
          </w:p>
        </w:tc>
      </w:tr>
      <w:tr>
        <w:trPr>
          <w:cantSplit/>
        </w:trPr>
        <w:tc>
          <w:tcPr>
            <w:tcW w:type="dxa" w:w="3175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THEUP</w:t>
            </w:r>
          </w:p>
        </w:tc>
        <w:tc>
          <w:tcPr>
            <w:tcW w:type="dxa" w:w="255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Teópolis, nome de Antioquia em certas emissões.</w:t>
            </w:r>
          </w:p>
        </w:tc>
        <w:tc>
          <w:tcPr>
            <w:tcW w:type="dxa" w:w="3515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Verificar período, grafia e catálogo.</w:t>
            </w:r>
          </w:p>
        </w:tc>
      </w:tr>
      <w:tr>
        <w:trPr>
          <w:cantSplit/>
        </w:trPr>
        <w:tc>
          <w:tcPr>
            <w:tcW w:type="dxa" w:w="317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CAR</w:t>
            </w:r>
          </w:p>
        </w:tc>
        <w:tc>
          <w:tcPr>
            <w:tcW w:type="dxa" w:w="255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Cartago em determinadas séries.</w:t>
            </w:r>
          </w:p>
        </w:tc>
        <w:tc>
          <w:tcPr>
            <w:tcW w:type="dxa" w:w="351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Não presumir procedência apenas pela inscrição parcial.</w:t>
            </w:r>
          </w:p>
        </w:tc>
      </w:tr>
    </w:tbl>
    <w:p/>
    <w:p>
      <w:pPr>
        <w:pStyle w:val="Heading1"/>
      </w:pPr>
      <w:r>
        <w:t>7. Erros frequentes de atribuição</w:t>
      </w:r>
    </w:p>
    <w:p>
      <w:pPr>
        <w:pStyle w:val="ListBullet"/>
        <w:ind w:left="340" w:hanging="142"/>
      </w:pPr>
      <w:r>
        <w:t>Tomar o M de valor nominal como assinatura pessoal do monarca.</w:t>
      </w:r>
    </w:p>
    <w:p>
      <w:pPr>
        <w:pStyle w:val="ListBullet"/>
        <w:ind w:left="340" w:hanging="142"/>
      </w:pPr>
      <w:r>
        <w:t>Tratar um algarismo regnal como se estivesse datado diretamente no calendário atual.</w:t>
      </w:r>
    </w:p>
    <w:p>
      <w:pPr>
        <w:pStyle w:val="ListBullet"/>
        <w:ind w:left="340" w:hanging="142"/>
      </w:pPr>
      <w:r>
        <w:t>Tomar o I de dez nummi como numeral de oficina em todos os contextos.</w:t>
      </w:r>
    </w:p>
    <w:p>
      <w:pPr>
        <w:pStyle w:val="ListBullet"/>
        <w:ind w:left="340" w:hanging="142"/>
      </w:pPr>
      <w:r>
        <w:t>Confundir marca de ceca com legenda religiosa ou epíteto do soberano.</w:t>
      </w:r>
    </w:p>
    <w:p>
      <w:pPr>
        <w:pStyle w:val="ListBullet"/>
        <w:ind w:left="340" w:hanging="142"/>
      </w:pPr>
      <w:r>
        <w:t>Determinar autenticidade somente pelo alinhamento dos sinais ou pelo peso aparente.</w:t>
      </w:r>
    </w:p>
    <w:p>
      <w:pPr>
        <w:pStyle w:val="Heading1"/>
      </w:pPr>
      <w:r>
        <w:t>8. Exercício de leitura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524"/>
      </w:tblGrid>
      <w:tr>
        <w:tc>
          <w:tcPr>
            <w:tcW w:type="dxa" w:w="9524"/>
            <w:shd w:fill="EFF4F4"/>
          </w:tcPr>
          <w:p>
            <w:pPr>
              <w:spacing w:after="40"/>
            </w:pPr>
            <w:r/>
            <w:r>
              <w:rPr>
                <w:rFonts w:ascii="Noto Sans" w:hAnsi="Noto Sans"/>
                <w:b/>
                <w:color w:val="A36F40"/>
                <w:sz w:val="17"/>
              </w:rPr>
              <w:t xml:space="preserve">SITUAÇÃO DE ESTUDO: </w:t>
            </w:r>
            <w:r>
              <w:rPr>
                <w:rFonts w:ascii="Noto Sans" w:hAnsi="Noto Sans"/>
                <w:b w:val="0"/>
                <w:color w:val="193648"/>
                <w:sz w:val="17"/>
              </w:rPr>
              <w:t>Uma peça de bronze apresenta M, ANNO XII, Γ e CON. O conjunto é compatível com certas emissões datadas de Constantinopla, mas a autoridade, a variante e a referência dependem de comparar também o anverso e o tipo documentado. Use o exemplo do Ashmolean na conferência.</w:t>
            </w:r>
          </w:p>
        </w:tc>
      </w:tr>
    </w:tbl>
    <w:p/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72"/>
        <w:gridCol w:w="5669"/>
      </w:tblGrid>
      <w:tr>
        <w:trPr>
          <w:tblHeader/>
        </w:trPr>
        <w:tc>
          <w:tcPr>
            <w:tcW w:type="dxa" w:w="4762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Item de catalogação</w:t>
            </w:r>
          </w:p>
        </w:tc>
        <w:tc>
          <w:tcPr>
            <w:tcW w:type="dxa" w:w="4762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Seu registro</w:t>
            </w:r>
          </w:p>
        </w:tc>
      </w:tr>
      <w:tr>
        <w:trPr>
          <w:cantSplit/>
        </w:trPr>
        <w:tc>
          <w:tcPr>
            <w:tcW w:type="dxa" w:w="3572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Autoridade sugerida</w:t>
            </w:r>
          </w:p>
        </w:tc>
        <w:tc>
          <w:tcPr>
            <w:tcW w:type="dxa" w:w="5669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3572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Legenda do anverso</w:t>
            </w:r>
          </w:p>
        </w:tc>
        <w:tc>
          <w:tcPr>
            <w:tcW w:type="dxa" w:w="5669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3572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Sinal nominal de valor</w:t>
            </w:r>
          </w:p>
        </w:tc>
        <w:tc>
          <w:tcPr>
            <w:tcW w:type="dxa" w:w="5669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3572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Ano de reinado se legível</w:t>
            </w:r>
          </w:p>
        </w:tc>
        <w:tc>
          <w:tcPr>
            <w:tcW w:type="dxa" w:w="5669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3572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Ceca e oficina</w:t>
            </w:r>
          </w:p>
        </w:tc>
        <w:tc>
          <w:tcPr>
            <w:tcW w:type="dxa" w:w="5669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3572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Peso, diâmetro e estado</w:t>
            </w:r>
          </w:p>
        </w:tc>
        <w:tc>
          <w:tcPr>
            <w:tcW w:type="dxa" w:w="5669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3572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Referência e grau de certeza</w:t>
            </w:r>
          </w:p>
        </w:tc>
        <w:tc>
          <w:tcPr>
            <w:tcW w:type="dxa" w:w="5669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________________________________________________</w:t>
            </w:r>
          </w:p>
        </w:tc>
      </w:tr>
    </w:tbl>
    <w:p/>
    <w:p>
      <w:pPr>
        <w:pStyle w:val="Heading1"/>
      </w:pPr>
      <w:r>
        <w:t>Fontes de conferência e exemplos documentados</w:t>
      </w:r>
    </w:p>
    <w:p>
      <w:r>
        <w:t>As indicações abaixo foram usadas para controlar a terminologia e orientar a pesquisa. Referências eletrônicas podem ser atualizadas por suas instituições mantenedoras.</w:t>
      </w:r>
    </w:p>
    <w:p>
      <w:pPr>
        <w:spacing w:after="40"/>
      </w:pPr>
      <w:r>
        <w:rPr>
          <w:rFonts w:ascii="Noto Sans" w:hAnsi="Noto Sans"/>
          <w:b/>
          <w:color w:val="193648"/>
          <w:sz w:val="16"/>
        </w:rPr>
        <w:t xml:space="preserve">• NGC, Post-Reform Bronze Issues of the Byzantine Empire: </w:t>
      </w:r>
      <w:hyperlink r:id="rId12">
        <w:r>
          <w:rPr>
            <w:color w:val="266C76"/>
            <w:u w:val="single"/>
            <w:rFonts w:ascii="Noto Sans" w:hAnsi="Noto Sans"/>
          </w:rPr>
          <w:t>acessar fonte</w:t>
        </w:r>
      </w:hyperlink>
    </w:p>
    <w:p>
      <w:pPr>
        <w:spacing w:after="40"/>
      </w:pPr>
      <w:r>
        <w:rPr>
          <w:rFonts w:ascii="Noto Sans" w:hAnsi="Noto Sans"/>
          <w:b/>
          <w:color w:val="193648"/>
          <w:sz w:val="16"/>
        </w:rPr>
        <w:t xml:space="preserve">• Ashmolean, acervo bizantino e follis ANNO XII: </w:t>
      </w:r>
      <w:hyperlink r:id="rId13">
        <w:r>
          <w:rPr>
            <w:color w:val="266C76"/>
            <w:u w:val="single"/>
            <w:rFonts w:ascii="Noto Sans" w:hAnsi="Noto Sans"/>
          </w:rPr>
          <w:t>acessar fonte</w:t>
        </w:r>
      </w:hyperlink>
    </w:p>
    <w:p>
      <w:pPr>
        <w:spacing w:after="40"/>
      </w:pPr>
      <w:r>
        <w:rPr>
          <w:rFonts w:ascii="Noto Sans" w:hAnsi="Noto Sans"/>
          <w:b/>
          <w:color w:val="193648"/>
          <w:sz w:val="16"/>
        </w:rPr>
        <w:t xml:space="preserve">• Ashmolean, follis ANNO XIIII: </w:t>
      </w:r>
      <w:hyperlink r:id="rId14">
        <w:r>
          <w:rPr>
            <w:color w:val="266C76"/>
            <w:u w:val="single"/>
            <w:rFonts w:ascii="Noto Sans" w:hAnsi="Noto Sans"/>
          </w:rPr>
          <w:t>acessar fonte</w:t>
        </w:r>
      </w:hyperlink>
    </w:p>
    <w:p>
      <w:pPr>
        <w:spacing w:after="40"/>
      </w:pPr>
      <w:r>
        <w:rPr>
          <w:rFonts w:ascii="Noto Sans" w:hAnsi="Noto Sans"/>
          <w:b/>
          <w:color w:val="193648"/>
          <w:sz w:val="16"/>
        </w:rPr>
        <w:t xml:space="preserve">• Museu de Freiburg, follis de Anastácio I: </w:t>
      </w:r>
      <w:hyperlink r:id="rId15">
        <w:r>
          <w:rPr>
            <w:color w:val="266C76"/>
            <w:u w:val="single"/>
            <w:rFonts w:ascii="Noto Sans" w:hAnsi="Noto Sans"/>
          </w:rPr>
          <w:t>acessar fonte</w:t>
        </w:r>
      </w:hyperlink>
    </w:p>
    <w:p>
      <w:pPr>
        <w:spacing w:after="40"/>
      </w:pPr>
      <w:r>
        <w:rPr>
          <w:rFonts w:ascii="Noto Sans" w:hAnsi="Noto Sans"/>
          <w:b/>
          <w:color w:val="193648"/>
          <w:sz w:val="16"/>
        </w:rPr>
        <w:t xml:space="preserve">• Smithsonian, follis de Justiniano I: </w:t>
      </w:r>
      <w:hyperlink r:id="rId16">
        <w:r>
          <w:rPr>
            <w:color w:val="266C76"/>
            <w:u w:val="single"/>
            <w:rFonts w:ascii="Noto Sans" w:hAnsi="Noto Sans"/>
          </w:rPr>
          <w:t>acessar fonte</w:t>
        </w:r>
      </w:hyperlink>
    </w:p>
    <w:p>
      <w:pPr>
        <w:pStyle w:val="Heading1"/>
      </w:pPr>
      <w:r>
        <w:t>Continue seus estudos na TH Numismática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524"/>
      </w:tblGrid>
      <w:tr>
        <w:tc>
          <w:tcPr>
            <w:tcW w:type="dxa" w:w="9524"/>
            <w:shd w:fill="EFF4F4"/>
          </w:tcPr>
          <w:p>
            <w:pPr>
              <w:spacing w:after="40"/>
            </w:pPr>
            <w:r/>
            <w:r>
              <w:rPr>
                <w:rFonts w:ascii="Noto Sans" w:hAnsi="Noto Sans"/>
                <w:b/>
                <w:color w:val="A36F40"/>
                <w:sz w:val="17"/>
              </w:rPr>
              <w:t xml:space="preserve">FERRAMENTA DISPONIBILIZADA PELA TH NUMISMÁTICA: </w:t>
            </w:r>
            <w:r>
              <w:rPr>
                <w:rFonts w:ascii="Noto Sans" w:hAnsi="Noto Sans"/>
                <w:b w:val="0"/>
                <w:color w:val="193648"/>
                <w:sz w:val="17"/>
              </w:rPr>
              <w:t>Os bronzes bizantinos da TH podem ser pesquisados pela autoridade, pela inscrição e pela denominação. Compare sempre as marcas observadas com as fichas dos exemplares disponíveis. Consulte os artigos, o catálogo de moedas e os exemplares já documentados no acervo da TH Numismática. Este arquivo foi extraído do site thnumismatica.com.br. Compartilhe gratuitamente mantendo a identificação de origem.</w:t>
            </w:r>
          </w:p>
        </w:tc>
      </w:tr>
    </w:tbl>
    <w:p/>
    <w:p>
      <w:pPr>
        <w:jc w:val="center"/>
      </w:pPr>
      <w:hyperlink r:id="rId17">
        <w:r>
          <w:rPr>
            <w:color w:val="266C76"/>
            <w:u w:val="single"/>
            <w:rFonts w:ascii="Noto Sans" w:hAnsi="Noto Sans"/>
          </w:rPr>
          <w:t>Conheça o site TH Numismática: thnumismatica.com.br</w:t>
        </w:r>
      </w:hyperlink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720000" cy="72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r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20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1906" w:h="16838"/>
      <w:pgMar w:top="992" w:right="1191" w:bottom="879" w:left="1191" w:header="369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" w:hAnsi="Noto Sans"/>
        <w:b w:val="0"/>
        <w:color w:val="526875"/>
        <w:sz w:val="14"/>
      </w:rPr>
      <w:t xml:space="preserve">Arquivo extraído do site thnumismatica.com.br   •   Material 12   •   Versão 1.1   •   2026   |   pág.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Noto Sans" w:hAnsi="Noto Sans"/>
        <w:b/>
        <w:color w:val="266C76"/>
        <w:sz w:val="14"/>
      </w:rPr>
      <w:t>TH NUMISMÁTICA   |   BIBLIOTECA DO COLECIONADOR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4" w:lineRule="auto"/>
    </w:pPr>
    <w:rPr>
      <w:rFonts w:ascii="Noto Sans" w:hAnsi="Noto Sans"/>
      <w:color w:val="19364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Noto Sans" w:hAnsi="Noto Sans"/>
      <w:b/>
      <w:bCs/>
      <w:color w:val="193648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Noto Sans" w:hAnsi="Noto Sans"/>
      <w:b/>
      <w:bCs/>
      <w:color w:val="266C76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Noto Sans" w:hAnsi="Noto Sans"/>
      <w:b/>
      <w:color w:val="193648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yperlink" Target="https://www.ngccoin.com/news/article/2391/Chaos-and-Coinage-Post-Reform-Bronze-Issues-of-the-Byzantine-Empire/" TargetMode="External"/><Relationship Id="rId13" Type="http://schemas.openxmlformats.org/officeDocument/2006/relationships/hyperlink" Target="https://hcr.ashmus.ox.ac.uk/collection/4?page=19" TargetMode="External"/><Relationship Id="rId14" Type="http://schemas.openxmlformats.org/officeDocument/2006/relationships/hyperlink" Target="https://hcr.ashmus.ox.ac.uk/coin/hcr44422" TargetMode="External"/><Relationship Id="rId15" Type="http://schemas.openxmlformats.org/officeDocument/2006/relationships/hyperlink" Target="https://ikmk.uni-freiburg.de/object?id=ID13283&amp;lang=en&amp;view=vs" TargetMode="External"/><Relationship Id="rId16" Type="http://schemas.openxmlformats.org/officeDocument/2006/relationships/hyperlink" Target="https://americanhistory.si.edu/collections/object/nmah_1251756" TargetMode="External"/><Relationship Id="rId17" Type="http://schemas.openxmlformats.org/officeDocument/2006/relationships/hyperlink" Target="https://thnumismatica.com.br" TargetMode="External"/><Relationship Id="rId1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