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13   /   TABELA DE REFERÊNCIA   /   OUTUBRO DE 2026</w:t>
      </w:r>
    </w:p>
    <w:p>
      <w:pPr>
        <w:pStyle w:val="Title"/>
      </w:pPr>
      <w:r>
        <w:t>Casas monetárias e oficinas nas moedas romanas</w:t>
      </w:r>
    </w:p>
    <w:p>
      <w:r>
        <w:rPr>
          <w:rFonts w:ascii="Noto Sans" w:hAnsi="Noto Sans"/>
          <w:b w:val="0"/>
          <w:color w:val="526875"/>
          <w:sz w:val="20"/>
        </w:rPr>
        <w:t>Como ler o exergo, separar cidade e oficina e consultar marcas tardo-imperiais sem atribuições precipitadas.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1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Leitura esquemática da marca SMNA. A posição e a combinação das letras determinam o sentido.</w:t>
      </w:r>
    </w:p>
    <w:p>
      <w:pPr>
        <w:pStyle w:val="Heading1"/>
      </w:pPr>
      <w:r>
        <w:t>1. Casa monetária, oficina, campo e exergo</w:t>
      </w:r>
    </w:p>
    <w:p>
      <w:r>
        <w:t>Casa monetária é o local de emissão; oficina é uma unidade produtiva nela identificada em certas séries. Campo designa a área ao redor da figura; exergo é a região inferior do reverso, frequentemente separada por uma linha. Nem toda moeda possui marca de ceca visível ou oficina reconhecível. O sistema de marcas tornou-se especialmente útil para muitas cunhagens tardo-imperiais, mas não deve ser generalizado para todos os séculos.</w:t>
      </w:r>
    </w:p>
    <w:p>
      <w:pPr>
        <w:pStyle w:val="Heading1"/>
      </w:pPr>
      <w:r>
        <w:t>2. Como decompor uma marca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231"/>
        <w:gridCol w:w="3572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Segmento possível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 que pode indicar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Exemplo e limitação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SM / P / M</w:t>
            </w:r>
          </w:p>
        </w:tc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Prefixos que integram determinadas marcas de emissão.</w:t>
            </w:r>
          </w:p>
        </w:tc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Seu significado não é idêntico em todos os períodos.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 / SIS / CONS / SMN</w:t>
            </w:r>
          </w:p>
        </w:tc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Abreviações relacionadas à cidade.</w:t>
            </w:r>
          </w:p>
        </w:tc>
        <w:tc>
          <w:tcPr>
            <w:tcW w:type="dxa" w:w="357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Compare forma exata, época e tipo.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/ B / Γ / Δ</w:t>
            </w:r>
          </w:p>
        </w:tc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Em séries pertinentes, identificação de oficina.</w:t>
            </w:r>
          </w:p>
        </w:tc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Letra no campo pode exercer outra função.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 / S / T / Q</w:t>
            </w:r>
          </w:p>
        </w:tc>
        <w:tc>
          <w:tcPr>
            <w:tcW w:type="dxa" w:w="32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Em certas cunhagens, numeração latina de oficinas.</w:t>
            </w:r>
          </w:p>
        </w:tc>
        <w:tc>
          <w:tcPr>
            <w:tcW w:type="dxa" w:w="357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 isolado também aparece em outras funções.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Ponto / estrela / crescente</w:t>
            </w:r>
          </w:p>
        </w:tc>
        <w:tc>
          <w:tcPr>
            <w:tcW w:type="dxa" w:w="32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Marcas de controle ou de emissão em certos tipos.</w:t>
            </w:r>
          </w:p>
        </w:tc>
        <w:tc>
          <w:tcPr>
            <w:tcW w:type="dxa" w:w="357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têm interpretação universal estável.</w:t>
            </w:r>
          </w:p>
        </w:tc>
      </w:tr>
    </w:tbl>
    <w:p/>
    <w:p>
      <w:pPr>
        <w:pStyle w:val="Heading1"/>
      </w:pPr>
      <w:r>
        <w:t>3. Seleção de cidades e abreviaturas encontradas em determinadas emissões</w:t>
      </w:r>
    </w:p>
    <w:p>
      <w:r>
        <w:t>A tabela abaixo não pretende cobrir todas as marcas, oficinas ou períodos. Indica grafias reconhecíveis que precisam ser confirmadas no catálogo de tipos, com destaque para o Império Romano Tardio.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061"/>
        <w:gridCol w:w="3855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Local de cunhagem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Marcas exemplificativas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Localização atual aproximada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 seguido da oficina (RP, RS, RT, RQ) e formas associadas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Roma, Itália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Tréveris (Treveri)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TR, TRE, PTR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Trier, Alemanha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Lugduno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LG, PLG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Lyon, França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Arelate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ARL, AR, CONST em séries específicas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Arles, França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Ticino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T, PT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Pavia, Itália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Aquileia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AQ, AQS, SMAQ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Aquileia, Itália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Siscia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SIS, SISC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Sisak, Croácia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Sirmio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SIRM em séries pertinentes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Sremska Mitrovica, Sérvia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Tessalônica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TS, SMTS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Tessalônica, Grécia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Heracleia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SMH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Marmara Ereğlisi, Turquia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Constantinopla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CONS, CON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Istambul, Turquia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Nicomédia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SMN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İzmit, Turquia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Cízico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SMK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Região de Erdek, Turquia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Antioquia</w:t>
            </w:r>
          </w:p>
        </w:tc>
        <w:tc>
          <w:tcPr>
            <w:tcW w:type="dxa" w:w="306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ANT, SMAN</w:t>
            </w:r>
          </w:p>
        </w:tc>
        <w:tc>
          <w:tcPr>
            <w:tcW w:type="dxa" w:w="385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Antakya, Turquia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Alexandria</w:t>
            </w:r>
          </w:p>
        </w:tc>
        <w:tc>
          <w:tcPr>
            <w:tcW w:type="dxa" w:w="306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ALE, SMAL</w:t>
            </w:r>
          </w:p>
        </w:tc>
        <w:tc>
          <w:tcPr>
            <w:tcW w:type="dxa" w:w="385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Alexandria, Egito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ARMADILHA FREQUENTE: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A letra A não indica invariavelmente oficina 1, nem SM equivale sempre à mesma palavra latina em qualquer século. Primeiro estabeleça a série monetária; só depois interprete a marca.</w:t>
            </w:r>
          </w:p>
        </w:tc>
      </w:tr>
    </w:tbl>
    <w:p/>
    <w:p>
      <w:pPr>
        <w:pStyle w:val="Heading1"/>
      </w:pPr>
      <w:r>
        <w:t>4. Latim, grego e números de oficina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628"/>
        <w:gridCol w:w="3798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Oficina possível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Notação latina em algumas séries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Notação grega em algumas séries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Primeira</w:t>
            </w:r>
          </w:p>
        </w:tc>
        <w:tc>
          <w:tcPr>
            <w:tcW w:type="dxa" w:w="36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 (prima), às vezes I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/ Α (alfa)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Segunda</w:t>
            </w:r>
          </w:p>
        </w:tc>
        <w:tc>
          <w:tcPr>
            <w:tcW w:type="dxa" w:w="362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 (secunda), às vezes II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 / Β (beta)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Terceira</w:t>
            </w:r>
          </w:p>
        </w:tc>
        <w:tc>
          <w:tcPr>
            <w:tcW w:type="dxa" w:w="36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 (tertia), às vezes III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Γ (gama)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Quarta</w:t>
            </w:r>
          </w:p>
        </w:tc>
        <w:tc>
          <w:tcPr>
            <w:tcW w:type="dxa" w:w="362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Q (quarta), às vezes IV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Δ (delta)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Quinta</w:t>
            </w:r>
          </w:p>
        </w:tc>
        <w:tc>
          <w:tcPr>
            <w:tcW w:type="dxa" w:w="362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Variante segundo a emissão</w:t>
            </w:r>
          </w:p>
        </w:tc>
        <w:tc>
          <w:tcPr>
            <w:tcW w:type="dxa" w:w="379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Є / Ε (épsilon)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Sexta</w:t>
            </w:r>
          </w:p>
        </w:tc>
        <w:tc>
          <w:tcPr>
            <w:tcW w:type="dxa" w:w="362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Variante segundo a emissão</w:t>
            </w:r>
          </w:p>
        </w:tc>
        <w:tc>
          <w:tcPr>
            <w:tcW w:type="dxa" w:w="379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 / Ϛ (stigma, conforme convenção de emissão)</w:t>
            </w:r>
          </w:p>
        </w:tc>
      </w:tr>
    </w:tbl>
    <w:p/>
    <w:p>
      <w:r>
        <w:t>As formas e o número de oficinas variam por ceca, período e tipo. A sexta oficina, por exemplo, pode ser indicada por sinais diversos; esta tabela não autoriza converter mecanicamente toda letra S em “sexta oficina”.</w:t>
      </w:r>
    </w:p>
    <w:p>
      <w:pPr>
        <w:pStyle w:val="Heading1"/>
      </w:pPr>
      <w:r>
        <w:t>5. Três casos acadêmicos para conferência</w:t>
      </w:r>
    </w:p>
    <w:p>
      <w:r>
        <w:rPr>
          <w:rFonts w:ascii="Noto Sans" w:hAnsi="Noto Sans"/>
          <w:b/>
          <w:color w:val="193648"/>
          <w:sz w:val="18"/>
        </w:rPr>
        <w:t xml:space="preserve">Nicomédia: SMNA. </w:t>
      </w:r>
      <w:r>
        <w:t>O OCRE, em RIC VII Nicomédia 195, registra a forma SMNA e a indicação de oficinas possíveis. O exemplo é útil para distinguir o componente de cidade do marcador de oficina.</w:t>
      </w:r>
    </w:p>
    <w:p>
      <w:r>
        <w:rPr>
          <w:rFonts w:ascii="Noto Sans" w:hAnsi="Noto Sans"/>
          <w:b/>
          <w:color w:val="193648"/>
          <w:sz w:val="18"/>
        </w:rPr>
        <w:t xml:space="preserve">Constantinopla: CONSA. </w:t>
      </w:r>
      <w:r>
        <w:t>O OCRE registra CONSA com ponto em RIC VIII Constantinopla 135. O símbolo final e o ponto fazem parte da variante e devem ser copiados tal como aparecem.</w:t>
      </w:r>
    </w:p>
    <w:p>
      <w:r>
        <w:rPr>
          <w:rFonts w:ascii="Noto Sans" w:hAnsi="Noto Sans"/>
          <w:b/>
          <w:color w:val="193648"/>
          <w:sz w:val="18"/>
        </w:rPr>
        <w:t xml:space="preserve">Antioquia: SMAN. </w:t>
      </w:r>
      <w:r>
        <w:t>O registro OCRE RIC VII Antioquia 45A utiliza SMAN. A marca pode ajudar a confirmar a casa monetária quando o restante do tipo coincide.</w:t>
      </w:r>
    </w:p>
    <w:p>
      <w:pPr>
        <w:pStyle w:val="Heading1"/>
      </w:pPr>
      <w:r>
        <w:t>6. Fluxo de identificação de marcas</w:t>
      </w:r>
    </w:p>
    <w:p>
      <w:pPr>
        <w:pStyle w:val="ListBullet"/>
        <w:ind w:left="340" w:hanging="142"/>
      </w:pPr>
      <w:r>
        <w:t>Registre literalmente a sequência visível, inclusive pontos, estrelas, crescentes e sinais incertos.</w:t>
      </w:r>
    </w:p>
    <w:p>
      <w:pPr>
        <w:pStyle w:val="ListBullet"/>
        <w:ind w:left="340" w:hanging="142"/>
      </w:pPr>
      <w:r>
        <w:t>Distinga o que está acima da linha de exergo do que se encontra nos campos laterais.</w:t>
      </w:r>
    </w:p>
    <w:p>
      <w:pPr>
        <w:pStyle w:val="ListBullet"/>
        <w:ind w:left="340" w:hanging="142"/>
      </w:pPr>
      <w:r>
        <w:t>Pesquise a legenda de anverso e o tipo de reverso para restringir a época.</w:t>
      </w:r>
    </w:p>
    <w:p>
      <w:pPr>
        <w:pStyle w:val="ListBullet"/>
        <w:ind w:left="340" w:hanging="142"/>
      </w:pPr>
      <w:r>
        <w:t>Compare a sequência completa com a ceca proposta no RIC/OCRE ou bibliografia apropriada.</w:t>
      </w:r>
    </w:p>
    <w:p>
      <w:pPr>
        <w:pStyle w:val="ListBullet"/>
        <w:ind w:left="340" w:hanging="142"/>
      </w:pPr>
      <w:r>
        <w:t>Confirme se a oficina, o símbolo de controle e a cronologia correspondem à variante.</w:t>
      </w:r>
    </w:p>
    <w:p>
      <w:pPr>
        <w:pStyle w:val="ListBullet"/>
        <w:ind w:left="340" w:hanging="142"/>
      </w:pPr>
      <w:r>
        <w:t>Se a inscrição estiver incompleta, declare a leitura provável em vez de preencher lacunas sem evidência.</w:t>
      </w:r>
    </w:p>
    <w:p>
      <w:pPr>
        <w:pStyle w:val="Heading1"/>
      </w:pPr>
      <w:r>
        <w:t>7. Ficha de verificação do exergo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5726"/>
      </w:tblGrid>
      <w:tr>
        <w:trPr>
          <w:tblHeader/>
        </w:trPr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Registro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Sequência exata das letras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Símbolos no campo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Linha de exergo presente?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Casa monetária proposta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Oficina provável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Cronologia e autoridade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Tipo e referência bibliográfica</w:t>
            </w:r>
          </w:p>
        </w:tc>
        <w:tc>
          <w:tcPr>
            <w:tcW w:type="dxa" w:w="572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Evidências contrárias / incertezas</w:t>
            </w:r>
          </w:p>
        </w:tc>
        <w:tc>
          <w:tcPr>
            <w:tcW w:type="dxa" w:w="572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RIC VII Nicomédia 195: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RIC VIII Constantinopla 135: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RIC VII Antioquia 45A: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Roman Coin Attribution Toolkit, marcas e oficinas: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Ashmolean, catálogo de moedas tardias: </w:t>
      </w:r>
      <w:hyperlink r:id="rId16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Continue seus estudos na TH Numismática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FERRAMENTA DISPONIBILIZADA PELA TH NUMISMÁTICA: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Ao consultar as moedas romanas tardias disponíveis na TH Numismática, observe como as marcas de ceca e oficina complementam as legendas e os tipos do reverso. Consulte os artigos, o catálogo de moedas e os exemplares já documentados no acervo da TH Numismática. Este arquivo foi extraído do site thnumismatica.com.br. Compartilhe gratuitamente mantendo a identificação de origem.</w:t>
            </w:r>
          </w:p>
        </w:tc>
      </w:tr>
    </w:tbl>
    <w:p/>
    <w:p>
      <w:pPr>
        <w:jc w:val="center"/>
      </w:pPr>
      <w:hyperlink r:id="rId17">
        <w:r>
          <w:rPr>
            <w:color w:val="266C76"/>
            <w:u w:val="single"/>
            <w:rFonts w:ascii="Noto Sans" w:hAnsi="Noto Sans"/>
          </w:rPr>
          <w:t>Conheça o site TH Numismática: 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13   •   Versão 1.1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numismatics.org/ocre/id/ric.7.nic.195" TargetMode="External"/><Relationship Id="rId13" Type="http://schemas.openxmlformats.org/officeDocument/2006/relationships/hyperlink" Target="https://numismatics.org/ocre/id/ric.8.cnp.135" TargetMode="External"/><Relationship Id="rId14" Type="http://schemas.openxmlformats.org/officeDocument/2006/relationships/hyperlink" Target="https://numismatics.org/ocre/id/ric.7.anch.45A" TargetMode="External"/><Relationship Id="rId15" Type="http://schemas.openxmlformats.org/officeDocument/2006/relationships/hyperlink" Target="https://romancoin.info/" TargetMode="External"/><Relationship Id="rId16" Type="http://schemas.openxmlformats.org/officeDocument/2006/relationships/hyperlink" Target="https://hcr.ashmus.ox.ac.uk/" TargetMode="External"/><Relationship Id="rId17" Type="http://schemas.openxmlformats.org/officeDocument/2006/relationships/hyperlink" Target="https://thnumismatica.com.br" TargetMode="External"/><Relationship Id="rId1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