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Noto Sans" w:hAnsi="Noto Sans"/>
          <w:b/>
          <w:color w:val="A36F40"/>
          <w:sz w:val="16"/>
        </w:rPr>
        <w:t>FERRAMENTA GRATUITA 14   /   ROTEIRO DE ATRIBUIÇÃO   /   OUTUBRO DE 2026</w:t>
      </w:r>
    </w:p>
    <w:p>
      <w:pPr>
        <w:pStyle w:val="Title"/>
      </w:pPr>
      <w:r>
        <w:t>Como identificar uma moeda romana desconhecida</w:t>
      </w:r>
    </w:p>
    <w:p>
      <w:r>
        <w:rPr>
          <w:rFonts w:ascii="Noto Sans" w:hAnsi="Noto Sans"/>
          <w:b w:val="0"/>
          <w:color w:val="526875"/>
          <w:sz w:val="20"/>
        </w:rPr>
        <w:t>Um método de análise de anverso, reverso, inscrições, medidas e referências para colecionadores de moedas imperiais e provinciais.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5"/>
        <w:gridCol w:w="1134"/>
      </w:tblGrid>
      <w:tr>
        <w:tc>
          <w:tcPr>
            <w:tcW w:type="dxa" w:w="4762"/>
            <w:shd w:fill="EFF4F4"/>
          </w:tcPr>
          <w:p>
            <w:pPr>
              <w:spacing w:after="4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USO EDUCATIVO | Material gratuito da TH Numismática. Reproduza com identificação da origem.</w:t>
            </w:r>
          </w:p>
        </w:tc>
        <w:tc>
          <w:tcPr>
            <w:tcW w:type="dxa" w:w="4762"/>
            <w:shd w:fill="193648"/>
          </w:tcPr>
          <w:p>
            <w:pPr>
              <w:jc w:val="center"/>
            </w:pPr>
            <w:r>
              <w:rPr>
                <w:rFonts w:ascii="Noto Sans" w:hAnsi="Noto Sans"/>
                <w:b/>
                <w:color w:val="FFFFFF"/>
                <w:sz w:val="24"/>
              </w:rPr>
              <w:t>TH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76000" cy="20916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man_v4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2091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Noto Sans" w:hAnsi="Noto Sans"/>
          <w:b w:val="0"/>
          <w:color w:val="526875"/>
          <w:sz w:val="14"/>
        </w:rPr>
        <w:t>Figura 1. Esquema de leitura em camadas. Os desenhos são originais e não representam exemplares do catálogo.</w:t>
      </w:r>
    </w:p>
    <w:p>
      <w:pPr>
        <w:pStyle w:val="Heading1"/>
      </w:pPr>
      <w:r>
        <w:t>1. O objetivo: atribuição sustentada por evidências</w:t>
      </w:r>
    </w:p>
    <w:p>
      <w:r>
        <w:t>Identificar uma moeda significa propor sua autoridade emissora, intervalo cronológico, tipo, denominação, casa monetária e referência. O aspecto do retrato, isoladamente, raramente resolve a atribuição: a leitura exige reunir sinais independentes e registrar o que permanece incerto. Não confunda atribuição tipológica, autenticidade e procedência. São avaliações diferentes.</w:t>
      </w:r>
    </w:p>
    <w:p>
      <w:pPr>
        <w:pStyle w:val="Heading1"/>
      </w:pPr>
      <w:r>
        <w:t>2. Dez etapas de análise</w:t>
      </w:r>
    </w:p>
    <w:p>
      <w:r>
        <w:rPr>
          <w:rFonts w:ascii="Noto Sans" w:hAnsi="Noto Sans"/>
          <w:b/>
          <w:color w:val="193648"/>
          <w:sz w:val="18"/>
        </w:rPr>
        <w:t xml:space="preserve">01. Separe as faces. </w:t>
      </w:r>
      <w:r>
        <w:t>Fotografe ambas as faces sem inverter nem espelhar. Identifique provisoriamente o anverso pelo retrato, legenda ou tipo; algumas emissões fogem ao padrão.</w:t>
      </w:r>
    </w:p>
    <w:p>
      <w:r>
        <w:rPr>
          <w:rFonts w:ascii="Noto Sans" w:hAnsi="Noto Sans"/>
          <w:b/>
          <w:color w:val="193648"/>
          <w:sz w:val="18"/>
        </w:rPr>
        <w:t xml:space="preserve">02. Registre o estado material. </w:t>
      </w:r>
      <w:r>
        <w:t>Fotografe bordo, falhas e áreas legíveis. Nunca raspe a superfície apenas para procurar inscrições.</w:t>
      </w:r>
    </w:p>
    <w:p>
      <w:r>
        <w:rPr>
          <w:rFonts w:ascii="Noto Sans" w:hAnsi="Noto Sans"/>
          <w:b/>
          <w:color w:val="193648"/>
          <w:sz w:val="18"/>
        </w:rPr>
        <w:t xml:space="preserve">03. Meça. </w:t>
      </w:r>
      <w:r>
        <w:t>Peso em gramas e diâmetros mínimo e máximo em milímetros. O eixo dos cunhos pode ser registrado em horas quando observável.</w:t>
      </w:r>
    </w:p>
    <w:p>
      <w:r>
        <w:rPr>
          <w:rFonts w:ascii="Noto Sans" w:hAnsi="Noto Sans"/>
          <w:b/>
          <w:color w:val="193648"/>
          <w:sz w:val="18"/>
        </w:rPr>
        <w:t xml:space="preserve">04. Observe o retrato. </w:t>
      </w:r>
      <w:r>
        <w:t>Direção, coroa (laureada, radiada, diadema), drapeado, couraça, sexo aparente e número de figuras. Esses sinais apenas delimitam hipóteses.</w:t>
      </w:r>
    </w:p>
    <w:p>
      <w:r>
        <w:rPr>
          <w:rFonts w:ascii="Noto Sans" w:hAnsi="Noto Sans"/>
          <w:b/>
          <w:color w:val="193648"/>
          <w:sz w:val="18"/>
        </w:rPr>
        <w:t xml:space="preserve">05. Transcreva legendas. </w:t>
      </w:r>
      <w:r>
        <w:t>Anote o que de fato está visível. Letras duvidosas entre colchetes e lacunas com pontos são convenções úteis, desde que explicadas.</w:t>
      </w:r>
    </w:p>
    <w:p>
      <w:r>
        <w:rPr>
          <w:rFonts w:ascii="Noto Sans" w:hAnsi="Noto Sans"/>
          <w:b/>
          <w:color w:val="193648"/>
          <w:sz w:val="18"/>
        </w:rPr>
        <w:t xml:space="preserve">06. Descreva o reverso. </w:t>
      </w:r>
      <w:r>
        <w:t>Registre figura, posição, instrumentos, animais, estruturas, inscrições e símbolos nos campos.</w:t>
      </w:r>
    </w:p>
    <w:p>
      <w:r>
        <w:rPr>
          <w:rFonts w:ascii="Noto Sans" w:hAnsi="Noto Sans"/>
          <w:b/>
          <w:color w:val="193648"/>
          <w:sz w:val="18"/>
        </w:rPr>
        <w:t xml:space="preserve">07. Leia marcas e exergo. </w:t>
      </w:r>
      <w:r>
        <w:t>Anote pontuação e sinais como observados, sem transformar imediatamente cada letra em uma casa monetária.</w:t>
      </w:r>
    </w:p>
    <w:p>
      <w:r>
        <w:rPr>
          <w:rFonts w:ascii="Noto Sans" w:hAnsi="Noto Sans"/>
          <w:b/>
          <w:color w:val="193648"/>
          <w:sz w:val="18"/>
        </w:rPr>
        <w:t xml:space="preserve">08. Escolha o corpus correto. </w:t>
      </w:r>
      <w:r>
        <w:t>OCRE para tipos imperiais abrangidos pelo RIC; RPC Online para moedas provinciais; CRRO para moedas republicanas.</w:t>
      </w:r>
    </w:p>
    <w:p>
      <w:r>
        <w:rPr>
          <w:rFonts w:ascii="Noto Sans" w:hAnsi="Noto Sans"/>
          <w:b/>
          <w:color w:val="193648"/>
          <w:sz w:val="18"/>
        </w:rPr>
        <w:t xml:space="preserve">09. Compare candidatos. </w:t>
      </w:r>
      <w:r>
        <w:t>Compare pelo menos dois tipos próximos; procure diferenças entre legendas, bustos, reversos, datas e oficinas.</w:t>
      </w:r>
    </w:p>
    <w:p>
      <w:r>
        <w:rPr>
          <w:rFonts w:ascii="Noto Sans" w:hAnsi="Noto Sans"/>
          <w:b/>
          <w:color w:val="193648"/>
          <w:sz w:val="18"/>
        </w:rPr>
        <w:t xml:space="preserve">10. Conclua com grau de certeza. </w:t>
      </w:r>
      <w:r>
        <w:t>Identificação confirmada, provável, possível ou indeterminada; cite referência e razões, preserve as hipóteses descartadas.</w:t>
      </w:r>
    </w:p>
    <w:p>
      <w:pPr>
        <w:pStyle w:val="Heading1"/>
      </w:pPr>
      <w:r>
        <w:t>3. Primeiro filtro: imperial, provincial ou republicana?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3515"/>
        <w:gridCol w:w="2948"/>
      </w:tblGrid>
      <w:tr>
        <w:trPr>
          <w:tblHeader/>
        </w:trPr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Indício inicial</w:t>
            </w:r>
          </w:p>
        </w:tc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Possível caminho</w:t>
            </w:r>
          </w:p>
        </w:tc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Cuidado</w:t>
            </w:r>
          </w:p>
        </w:tc>
      </w:tr>
      <w:tr>
        <w:trPr>
          <w:cantSplit/>
        </w:trPr>
        <w:tc>
          <w:tcPr>
            <w:tcW w:type="dxa" w:w="283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Retrato imperial e legenda latina</w:t>
            </w:r>
          </w:p>
        </w:tc>
        <w:tc>
          <w:tcPr>
            <w:tcW w:type="dxa" w:w="351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Pesquisar OCRE por autoridade, anverso e reverso.</w:t>
            </w:r>
          </w:p>
        </w:tc>
        <w:tc>
          <w:tcPr>
            <w:tcW w:type="dxa" w:w="294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Moedas provinciais também podem trazer retratos imperiais.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Legenda grega e nome de cidade</w:t>
            </w:r>
          </w:p>
        </w:tc>
        <w:tc>
          <w:tcPr>
            <w:tcW w:type="dxa" w:w="351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Pesquisar RPC Online e corpus regional.</w:t>
            </w:r>
          </w:p>
        </w:tc>
        <w:tc>
          <w:tcPr>
            <w:tcW w:type="dxa" w:w="294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Língua isolada não basta para identificar uma origem.</w:t>
            </w:r>
          </w:p>
        </w:tc>
      </w:tr>
      <w:tr>
        <w:trPr>
          <w:cantSplit/>
        </w:trPr>
        <w:tc>
          <w:tcPr>
            <w:tcW w:type="dxa" w:w="283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Tipo republicano com nome de magistrado</w:t>
            </w:r>
          </w:p>
        </w:tc>
        <w:tc>
          <w:tcPr>
            <w:tcW w:type="dxa" w:w="351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Consultar CRRO e referências do RRC.</w:t>
            </w:r>
          </w:p>
        </w:tc>
        <w:tc>
          <w:tcPr>
            <w:tcW w:type="dxa" w:w="294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Moedas transicionais exigem cuidado cronológico.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Marca tardia de oficina no exergo</w:t>
            </w:r>
          </w:p>
        </w:tc>
        <w:tc>
          <w:tcPr>
            <w:tcW w:type="dxa" w:w="351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Pesquisar OCRE, período e oficina.</w:t>
            </w:r>
          </w:p>
        </w:tc>
        <w:tc>
          <w:tcPr>
            <w:tcW w:type="dxa" w:w="294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Marcas semelhantes aparecem em cidades e emissões distintas.</w:t>
            </w:r>
          </w:p>
        </w:tc>
      </w:tr>
    </w:tbl>
    <w:p/>
    <w:p>
      <w:pPr>
        <w:pStyle w:val="Heading1"/>
      </w:pPr>
      <w:r>
        <w:t>4. Elementos técnicos com valor diagnóstico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3175"/>
        <w:gridCol w:w="3798"/>
      </w:tblGrid>
      <w:tr>
        <w:trPr>
          <w:tblHeader/>
        </w:trPr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Elemento</w:t>
            </w:r>
          </w:p>
        </w:tc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O que registrar</w:t>
            </w:r>
          </w:p>
        </w:tc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Limite interpretativo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Peso e diâmetro</w:t>
            </w:r>
          </w:p>
        </w:tc>
        <w:tc>
          <w:tcPr>
            <w:tcW w:type="dxa" w:w="317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Balança calibrada, máximo/mínimo; não arredondar além da precisão real.</w:t>
            </w:r>
          </w:p>
        </w:tc>
        <w:tc>
          <w:tcPr>
            <w:tcW w:type="dxa" w:w="379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Desgaste, corrosão e corte alteram medidas.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Coroa radiada</w:t>
            </w:r>
          </w:p>
        </w:tc>
        <w:tc>
          <w:tcPr>
            <w:tcW w:type="dxa" w:w="317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Raios projetados atrás da cabeça.</w:t>
            </w:r>
          </w:p>
        </w:tc>
        <w:tc>
          <w:tcPr>
            <w:tcW w:type="dxa" w:w="379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Comum em denominações distintas em épocas diferentes.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Busto laureado</w:t>
            </w:r>
          </w:p>
        </w:tc>
        <w:tc>
          <w:tcPr>
            <w:tcW w:type="dxa" w:w="317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Folhas de louro com laços.</w:t>
            </w:r>
          </w:p>
        </w:tc>
        <w:tc>
          <w:tcPr>
            <w:tcW w:type="dxa" w:w="379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Não determina sozinho imperador nem denominação.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S C</w:t>
            </w:r>
          </w:p>
        </w:tc>
        <w:tc>
          <w:tcPr>
            <w:tcW w:type="dxa" w:w="317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Letras S e C frequentemente em bronzes.</w:t>
            </w:r>
          </w:p>
        </w:tc>
        <w:tc>
          <w:tcPr>
            <w:tcW w:type="dxa" w:w="379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Não comprova Roma nem denominação por si.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Exergo</w:t>
            </w:r>
          </w:p>
        </w:tc>
        <w:tc>
          <w:tcPr>
            <w:tcW w:type="dxa" w:w="317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Sequência de letras e símbolos sob linha do reverso.</w:t>
            </w:r>
          </w:p>
        </w:tc>
        <w:tc>
          <w:tcPr>
            <w:tcW w:type="dxa" w:w="379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Marca não deve ser interpretada sem época e tipo.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Eixo de cunhos</w:t>
            </w:r>
          </w:p>
        </w:tc>
        <w:tc>
          <w:tcPr>
            <w:tcW w:type="dxa" w:w="317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Posição relativa entre faces, em horas.</w:t>
            </w:r>
          </w:p>
        </w:tc>
        <w:tc>
          <w:tcPr>
            <w:tcW w:type="dxa" w:w="379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É apenas dado descritivo; isoladamente não prova autenticidade.</w:t>
            </w:r>
          </w:p>
        </w:tc>
      </w:tr>
    </w:tbl>
    <w:p/>
    <w:p>
      <w:pPr>
        <w:pStyle w:val="Heading1"/>
      </w:pPr>
      <w:r>
        <w:t>5. Pesquisas comentadas</w:t>
      </w:r>
    </w:p>
    <w:p>
      <w:r>
        <w:rPr>
          <w:rFonts w:ascii="Noto Sans" w:hAnsi="Noto Sans"/>
          <w:b/>
          <w:color w:val="193648"/>
          <w:sz w:val="18"/>
        </w:rPr>
        <w:t xml:space="preserve">Caso A. Anverso IMP CAESAR AVGVSTV[S]. </w:t>
      </w:r>
      <w:r>
        <w:t>A transcrição sugere universo augustano, mas a referência só pode ser escolhida depois de confrontar ceca e reverso. A base OCRE contém variantes próximas de legendas e orientação do busto. Não atribua um número RIC apenas pelo nome Augusto.</w:t>
      </w:r>
    </w:p>
    <w:p>
      <w:r>
        <w:rPr>
          <w:rFonts w:ascii="Noto Sans" w:hAnsi="Noto Sans"/>
          <w:b/>
          <w:color w:val="193648"/>
          <w:sz w:val="18"/>
        </w:rPr>
        <w:t xml:space="preserve">Caso B. Reverso FEL TEMP REPARATIO. </w:t>
      </w:r>
      <w:r>
        <w:t>A legenda é característica de numerosas moedas do século IV. A figura (soldado abatendo cavaleiro, fênix, galera etc.), o busto e a marca de oficina são determinantes para separar variantes.</w:t>
      </w:r>
    </w:p>
    <w:p>
      <w:r>
        <w:rPr>
          <w:rFonts w:ascii="Noto Sans" w:hAnsi="Noto Sans"/>
          <w:b/>
          <w:color w:val="193648"/>
          <w:sz w:val="18"/>
        </w:rPr>
        <w:t xml:space="preserve">Caso C. Busto imperial com legenda grega. </w:t>
      </w:r>
      <w:r>
        <w:t>A possibilidade de emissão provincial merece pesquisa no RPC Online antes de associar a peça à cunhagem central de Roma. Confirme autoridade, cidade e inscrição cívica.</w:t>
      </w:r>
    </w:p>
    <w:p>
      <w:pPr>
        <w:pStyle w:val="Heading1"/>
      </w:pPr>
      <w:r>
        <w:t>6. Quadro de comparação entre duas hipóteses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21"/>
        <w:gridCol w:w="3288"/>
        <w:gridCol w:w="3288"/>
      </w:tblGrid>
      <w:tr>
        <w:trPr>
          <w:tblHeader/>
        </w:trPr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Critério</w:t>
            </w:r>
          </w:p>
        </w:tc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Hipótese A</w:t>
            </w:r>
          </w:p>
        </w:tc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Hipótese B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Autoridade</w:t>
            </w:r>
          </w:p>
        </w:tc>
        <w:tc>
          <w:tcPr>
            <w:tcW w:type="dxa" w:w="328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</w:t>
            </w:r>
          </w:p>
        </w:tc>
        <w:tc>
          <w:tcPr>
            <w:tcW w:type="dxa" w:w="328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Legenda visível</w:t>
            </w:r>
          </w:p>
        </w:tc>
        <w:tc>
          <w:tcPr>
            <w:tcW w:type="dxa" w:w="328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</w:t>
            </w:r>
          </w:p>
        </w:tc>
        <w:tc>
          <w:tcPr>
            <w:tcW w:type="dxa" w:w="328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Reverso</w:t>
            </w:r>
          </w:p>
        </w:tc>
        <w:tc>
          <w:tcPr>
            <w:tcW w:type="dxa" w:w="328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</w:t>
            </w:r>
          </w:p>
        </w:tc>
        <w:tc>
          <w:tcPr>
            <w:tcW w:type="dxa" w:w="328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Ceca/oficina</w:t>
            </w:r>
          </w:p>
        </w:tc>
        <w:tc>
          <w:tcPr>
            <w:tcW w:type="dxa" w:w="328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</w:t>
            </w:r>
          </w:p>
        </w:tc>
        <w:tc>
          <w:tcPr>
            <w:tcW w:type="dxa" w:w="328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Data</w:t>
            </w:r>
          </w:p>
        </w:tc>
        <w:tc>
          <w:tcPr>
            <w:tcW w:type="dxa" w:w="328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</w:t>
            </w:r>
          </w:p>
        </w:tc>
        <w:tc>
          <w:tcPr>
            <w:tcW w:type="dxa" w:w="328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Denominação</w:t>
            </w:r>
          </w:p>
        </w:tc>
        <w:tc>
          <w:tcPr>
            <w:tcW w:type="dxa" w:w="328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</w:t>
            </w:r>
          </w:p>
        </w:tc>
        <w:tc>
          <w:tcPr>
            <w:tcW w:type="dxa" w:w="328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Referência</w:t>
            </w:r>
          </w:p>
        </w:tc>
        <w:tc>
          <w:tcPr>
            <w:tcW w:type="dxa" w:w="328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</w:t>
            </w:r>
          </w:p>
        </w:tc>
        <w:tc>
          <w:tcPr>
            <w:tcW w:type="dxa" w:w="328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Discordância</w:t>
            </w:r>
          </w:p>
        </w:tc>
        <w:tc>
          <w:tcPr>
            <w:tcW w:type="dxa" w:w="328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</w:t>
            </w:r>
          </w:p>
        </w:tc>
        <w:tc>
          <w:tcPr>
            <w:tcW w:type="dxa" w:w="328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Grau de certeza</w:t>
            </w:r>
          </w:p>
        </w:tc>
        <w:tc>
          <w:tcPr>
            <w:tcW w:type="dxa" w:w="328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</w:t>
            </w:r>
          </w:p>
        </w:tc>
        <w:tc>
          <w:tcPr>
            <w:tcW w:type="dxa" w:w="328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</w:t>
            </w:r>
          </w:p>
        </w:tc>
      </w:tr>
    </w:tbl>
    <w:p/>
    <w:p>
      <w:pPr>
        <w:pStyle w:val="Heading1"/>
      </w:pPr>
      <w:r>
        <w:t>7. Registro mínimo para o acervo</w:t>
      </w:r>
    </w:p>
    <w:p>
      <w:r>
        <w:t>Código de inventário: __________    Data de exame: __________    Origem da peça: __________</w:t>
      </w:r>
    </w:p>
    <w:p>
      <w:r>
        <w:t>Peso: ______ g    Diâmetro: ______ a ______ mm    Eixo: ______ h</w:t>
      </w:r>
    </w:p>
    <w:p>
      <w:r>
        <w:t>Anverso: _________________________________________    Legenda: ______________________________</w:t>
      </w:r>
    </w:p>
    <w:p>
      <w:r>
        <w:t>Reverso: _________________________________________    Legenda: ______________________________</w:t>
      </w:r>
    </w:p>
    <w:p>
      <w:r>
        <w:t>Referência conferida: ____________________________    Nível de certeza: 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524"/>
            <w:shd w:fill="EFF4F4"/>
          </w:tcPr>
          <w:p>
            <w:pPr>
              <w:spacing w:after="40"/>
            </w:pPr>
            <w:r/>
            <w:r>
              <w:rPr>
                <w:rFonts w:ascii="Noto Sans" w:hAnsi="Noto Sans"/>
                <w:b/>
                <w:color w:val="A36F40"/>
                <w:sz w:val="17"/>
              </w:rPr>
              <w:t xml:space="preserve">ANTES DA COMPRA: </w:t>
            </w:r>
            <w:r>
              <w:rPr>
                <w:rFonts w:ascii="Noto Sans" w:hAnsi="Noto Sans"/>
                <w:b w:val="0"/>
                <w:color w:val="193648"/>
                <w:sz w:val="17"/>
              </w:rPr>
              <w:t>Compare as fotografias do anverso, reverso e bordo com o tipo documentado. Peça descrição da procedência, condições de devolução e medidas. Nem mesmo uma boa correspondência com catálogo comprova autenticidade.</w:t>
            </w:r>
          </w:p>
        </w:tc>
      </w:tr>
    </w:tbl>
    <w:p/>
    <w:p>
      <w:pPr>
        <w:pStyle w:val="Heading1"/>
      </w:pPr>
      <w:r>
        <w:t>Fontes de conferência e exemplos documentados</w:t>
      </w:r>
    </w:p>
    <w:p>
      <w:r>
        <w:t>As indicações abaixo foram usadas para controlar a terminologia e orientar a pesquisa. Referências eletrônicas podem ser atualizadas por suas instituições mantenedoras.</w:t>
      </w:r>
    </w:p>
    <w:p>
      <w:pPr>
        <w:spacing w:after="40"/>
      </w:pPr>
      <w:r>
        <w:rPr>
          <w:rFonts w:ascii="Noto Sans" w:hAnsi="Noto Sans"/>
          <w:b/>
          <w:color w:val="193648"/>
          <w:sz w:val="16"/>
        </w:rPr>
        <w:t xml:space="preserve">• OCRE, pesquisa avançada: </w:t>
      </w:r>
      <w:hyperlink r:id="rId12">
        <w:r>
          <w:rPr>
            <w:color w:val="266C76"/>
            <w:u w:val="single"/>
            <w:rFonts w:ascii="Noto Sans" w:hAnsi="Noto Sans"/>
          </w:rPr>
          <w:t>acessar fonte</w:t>
        </w:r>
      </w:hyperlink>
    </w:p>
    <w:p>
      <w:pPr>
        <w:spacing w:after="40"/>
      </w:pPr>
      <w:r>
        <w:rPr>
          <w:rFonts w:ascii="Noto Sans" w:hAnsi="Noto Sans"/>
          <w:b/>
          <w:color w:val="193648"/>
          <w:sz w:val="16"/>
        </w:rPr>
        <w:t xml:space="preserve">• RPC Online, introdução e limites do projeto: </w:t>
      </w:r>
      <w:hyperlink r:id="rId13">
        <w:r>
          <w:rPr>
            <w:color w:val="266C76"/>
            <w:u w:val="single"/>
            <w:rFonts w:ascii="Noto Sans" w:hAnsi="Noto Sans"/>
          </w:rPr>
          <w:t>acessar fonte</w:t>
        </w:r>
      </w:hyperlink>
    </w:p>
    <w:p>
      <w:pPr>
        <w:spacing w:after="40"/>
      </w:pPr>
      <w:r>
        <w:rPr>
          <w:rFonts w:ascii="Noto Sans" w:hAnsi="Noto Sans"/>
          <w:b/>
          <w:color w:val="193648"/>
          <w:sz w:val="16"/>
        </w:rPr>
        <w:t xml:space="preserve">• CRRO, Roman Republican Coinage Online: </w:t>
      </w:r>
      <w:hyperlink r:id="rId14">
        <w:r>
          <w:rPr>
            <w:color w:val="266C76"/>
            <w:u w:val="single"/>
            <w:rFonts w:ascii="Noto Sans" w:hAnsi="Noto Sans"/>
          </w:rPr>
          <w:t>acessar fonte</w:t>
        </w:r>
      </w:hyperlink>
    </w:p>
    <w:p>
      <w:pPr>
        <w:spacing w:after="40"/>
      </w:pPr>
      <w:r>
        <w:rPr>
          <w:rFonts w:ascii="Noto Sans" w:hAnsi="Noto Sans"/>
          <w:b/>
          <w:color w:val="193648"/>
          <w:sz w:val="16"/>
        </w:rPr>
        <w:t xml:space="preserve">• Corpus Nummorum, tipologias provinciais: </w:t>
      </w:r>
      <w:hyperlink r:id="rId15">
        <w:r>
          <w:rPr>
            <w:color w:val="266C76"/>
            <w:u w:val="single"/>
            <w:rFonts w:ascii="Noto Sans" w:hAnsi="Noto Sans"/>
          </w:rPr>
          <w:t>acessar fonte</w:t>
        </w:r>
      </w:hyperlink>
    </w:p>
    <w:p>
      <w:pPr>
        <w:spacing w:after="40"/>
      </w:pPr>
      <w:r>
        <w:rPr>
          <w:rFonts w:ascii="Noto Sans" w:hAnsi="Noto Sans"/>
          <w:b/>
          <w:color w:val="193648"/>
          <w:sz w:val="16"/>
        </w:rPr>
        <w:t xml:space="preserve">• British Museum, exemplo de dupondius de Nero: </w:t>
      </w:r>
      <w:hyperlink r:id="rId16">
        <w:r>
          <w:rPr>
            <w:color w:val="266C76"/>
            <w:u w:val="single"/>
            <w:rFonts w:ascii="Noto Sans" w:hAnsi="Noto Sans"/>
          </w:rPr>
          <w:t>acessar fonte</w:t>
        </w:r>
      </w:hyperlink>
    </w:p>
    <w:p>
      <w:pPr>
        <w:pStyle w:val="Heading1"/>
      </w:pPr>
      <w:r>
        <w:t>Continue seus estudos na TH Numismática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524"/>
            <w:shd w:fill="EFF4F4"/>
          </w:tcPr>
          <w:p>
            <w:pPr>
              <w:spacing w:after="40"/>
            </w:pPr>
            <w:r/>
            <w:r>
              <w:rPr>
                <w:rFonts w:ascii="Noto Sans" w:hAnsi="Noto Sans"/>
                <w:b/>
                <w:color w:val="A36F40"/>
                <w:sz w:val="17"/>
              </w:rPr>
              <w:t xml:space="preserve">FERRAMENTA DISPONIBILIZADA PELA TH NUMISMÁTICA: </w:t>
            </w:r>
            <w:r>
              <w:rPr>
                <w:rFonts w:ascii="Noto Sans" w:hAnsi="Noto Sans"/>
                <w:b w:val="0"/>
                <w:color w:val="193648"/>
                <w:sz w:val="17"/>
              </w:rPr>
              <w:t>Ao utilizar o método, pesquise moedas imperiais, provinciais e exemplares já documentados na TH. Os exemplos podem despertar novas linhas de coleção. Consulte os artigos, o catálogo de moedas e os exemplares já documentados no acervo da TH Numismática. Este arquivo foi extraído do site thnumismatica.com.br. Compartilhe gratuitamente mantendo a identificação de origem.</w:t>
            </w:r>
          </w:p>
        </w:tc>
      </w:tr>
    </w:tbl>
    <w:p/>
    <w:p>
      <w:pPr>
        <w:jc w:val="center"/>
      </w:pPr>
      <w:hyperlink r:id="rId17">
        <w:r>
          <w:rPr>
            <w:color w:val="266C76"/>
            <w:u w:val="single"/>
            <w:rFonts w:ascii="Noto Sans" w:hAnsi="Noto Sans"/>
          </w:rPr>
          <w:t>Conheça o site TH Numismática: thnumismatica.com.br</w:t>
        </w:r>
      </w:hyperlink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720000" cy="72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r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1906" w:h="16838"/>
      <w:pgMar w:top="992" w:right="1191" w:bottom="879" w:left="1191" w:header="369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" w:hAnsi="Noto Sans"/>
        <w:b w:val="0"/>
        <w:color w:val="526875"/>
        <w:sz w:val="14"/>
      </w:rPr>
      <w:t xml:space="preserve">Arquivo extraído do site thnumismatica.com.br   •   Material 14   •   Versão 1.0   •   2026   |   pág.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Noto Sans" w:hAnsi="Noto Sans"/>
        <w:b/>
        <w:color w:val="266C76"/>
        <w:sz w:val="14"/>
      </w:rPr>
      <w:t>TH NUMISMÁTICA   |   BIBLIOTECA DO COLECIONADOR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4" w:lineRule="auto"/>
    </w:pPr>
    <w:rPr>
      <w:rFonts w:ascii="Noto Sans" w:hAnsi="Noto Sans"/>
      <w:color w:val="1936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Noto Sans" w:hAnsi="Noto Sans"/>
      <w:b/>
      <w:bCs/>
      <w:color w:val="193648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Noto Sans" w:hAnsi="Noto Sans"/>
      <w:b/>
      <w:bCs/>
      <w:color w:val="266C76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Noto Sans" w:hAnsi="Noto Sans"/>
      <w:b/>
      <w:color w:val="193648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yperlink" Target="https://numismatics.org/ocre/search" TargetMode="External"/><Relationship Id="rId13" Type="http://schemas.openxmlformats.org/officeDocument/2006/relationships/hyperlink" Target="https://rpc.ashmus.ox.ac.uk/introduction" TargetMode="External"/><Relationship Id="rId14" Type="http://schemas.openxmlformats.org/officeDocument/2006/relationships/hyperlink" Target="https://numismatics.org/crro/" TargetMode="External"/><Relationship Id="rId15" Type="http://schemas.openxmlformats.org/officeDocument/2006/relationships/hyperlink" Target="https://www.corpus-nummorum.eu/" TargetMode="External"/><Relationship Id="rId16" Type="http://schemas.openxmlformats.org/officeDocument/2006/relationships/hyperlink" Target="https://www.britishmuseum.org/collection/object/C_R-9981" TargetMode="External"/><Relationship Id="rId17" Type="http://schemas.openxmlformats.org/officeDocument/2006/relationships/hyperlink" Target="https://thnumismatica.com.br" TargetMode="External"/><Relationship Id="rId1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