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rFonts w:ascii="Noto Sans" w:hAnsi="Noto Sans"/>
          <w:b/>
          <w:color w:val="A36F40"/>
          <w:sz w:val="16"/>
        </w:rPr>
        <w:t>FERRAMENTA GRATUITA 16   /   ICONOGRAFIA DE REVERSOS   /   OUTUBRO DE 2026</w:t>
      </w:r>
    </w:p>
    <w:p>
      <w:pPr>
        <w:pStyle w:val="Title"/>
      </w:pPr>
      <w:r>
        <w:t>Atlas de divindades, personificações e símbolos romanos</w:t>
      </w:r>
    </w:p>
    <w:p>
      <w:r>
        <w:rPr>
          <w:rFonts w:ascii="Noto Sans" w:hAnsi="Noto Sans"/>
          <w:b w:val="0"/>
          <w:color w:val="526875"/>
          <w:sz w:val="20"/>
        </w:rPr>
        <w:t>Um guia de reconhecimento de atributos para compreender os reversos das moedas romanas e descobrir novas possibilidades de coleção.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135"/>
        <w:gridCol w:w="1134"/>
      </w:tblGrid>
      <w:tr>
        <w:tc>
          <w:tcPr>
            <w:tcW w:type="dxa" w:w="4762"/>
            <w:shd w:fill="EFF4F4"/>
          </w:tcPr>
          <w:p>
            <w:pPr>
              <w:spacing w:after="4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USO EDUCATIVO | Material gratuito da TH Numismática. Reproduza com identificação da origem.</w:t>
            </w:r>
          </w:p>
        </w:tc>
        <w:tc>
          <w:tcPr>
            <w:tcW w:type="dxa" w:w="4762"/>
            <w:shd w:fill="193648"/>
          </w:tcPr>
          <w:p>
            <w:pPr>
              <w:jc w:val="center"/>
            </w:pPr>
            <w:r>
              <w:rPr>
                <w:rFonts w:ascii="Noto Sans" w:hAnsi="Noto Sans"/>
                <w:b/>
                <w:color w:val="FFFFFF"/>
                <w:sz w:val="24"/>
              </w:rPr>
              <w:t>TH</w:t>
            </w:r>
          </w:p>
        </w:tc>
      </w:tr>
    </w:tbl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976000" cy="20916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tlas_v4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2091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Noto Sans" w:hAnsi="Noto Sans"/>
          <w:b w:val="0"/>
          <w:color w:val="526875"/>
          <w:sz w:val="14"/>
        </w:rPr>
        <w:t>Figura 1. Grupos temáticos ilustrados por letras esquemáticas, sem reprodução de moedas de terceiros.</w:t>
      </w:r>
    </w:p>
    <w:p>
      <w:pPr>
        <w:pStyle w:val="Heading1"/>
      </w:pPr>
      <w:r>
        <w:t>1. Ler iconografia é combinar atributos</w:t>
      </w:r>
    </w:p>
    <w:p>
      <w:r>
        <w:t>Uma figura feminina com cornucópia pode representar diferentes conceitos, como paz, abundância ou equidade. A interpretação melhora quando se observam inscrição do reverso, gesto, objetos portados, contexto histórico e paralelos tipológicos. Os atributos abaixo são frequentes, não exclusivos.</w:t>
      </w:r>
    </w:p>
    <w:p>
      <w:pPr>
        <w:pStyle w:val="Heading1"/>
      </w:pPr>
      <w:r>
        <w:t>2.1 Atlas de consulta: conjunto 1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3515"/>
        <w:gridCol w:w="1701"/>
        <w:gridCol w:w="2268"/>
      </w:tblGrid>
      <w:tr>
        <w:trPr>
          <w:tblHeader/>
        </w:trPr>
        <w:tc>
          <w:tcPr>
            <w:tcW w:type="dxa" w:w="2381"/>
            <w:shd w:fill="193648"/>
          </w:tcPr>
          <w:p>
            <w:pPr>
              <w:spacing w:after="20"/>
            </w:pPr>
            <w:r>
              <w:rPr>
                <w:rFonts w:ascii="Noto Sans" w:hAnsi="Noto Sans"/>
                <w:b/>
                <w:color w:val="FFFFFF"/>
                <w:sz w:val="16"/>
              </w:rPr>
              <w:t>Divindade / conceito</w:t>
            </w:r>
          </w:p>
        </w:tc>
        <w:tc>
          <w:tcPr>
            <w:tcW w:type="dxa" w:w="2381"/>
            <w:shd w:fill="193648"/>
          </w:tcPr>
          <w:p>
            <w:pPr>
              <w:spacing w:after="20"/>
            </w:pPr>
            <w:r>
              <w:rPr>
                <w:rFonts w:ascii="Noto Sans" w:hAnsi="Noto Sans"/>
                <w:b/>
                <w:color w:val="FFFFFF"/>
                <w:sz w:val="16"/>
              </w:rPr>
              <w:t>Atributos frequentes</w:t>
            </w:r>
          </w:p>
        </w:tc>
        <w:tc>
          <w:tcPr>
            <w:tcW w:type="dxa" w:w="2381"/>
            <w:shd w:fill="193648"/>
          </w:tcPr>
          <w:p>
            <w:pPr>
              <w:spacing w:after="20"/>
            </w:pPr>
            <w:r>
              <w:rPr>
                <w:rFonts w:ascii="Noto Sans" w:hAnsi="Noto Sans"/>
                <w:b/>
                <w:color w:val="FFFFFF"/>
                <w:sz w:val="16"/>
              </w:rPr>
              <w:t>Legendas exemplificativas</w:t>
            </w:r>
          </w:p>
        </w:tc>
        <w:tc>
          <w:tcPr>
            <w:tcW w:type="dxa" w:w="2381"/>
            <w:shd w:fill="193648"/>
          </w:tcPr>
          <w:p>
            <w:pPr>
              <w:spacing w:after="20"/>
            </w:pPr>
            <w:r>
              <w:rPr>
                <w:rFonts w:ascii="Noto Sans" w:hAnsi="Noto Sans"/>
                <w:b/>
                <w:color w:val="FFFFFF"/>
                <w:sz w:val="16"/>
              </w:rPr>
              <w:t>Alerta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Vitória (Victoria)</w:t>
            </w:r>
          </w:p>
        </w:tc>
        <w:tc>
          <w:tcPr>
            <w:tcW w:type="dxa" w:w="3515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Asas; coroa de louros; ramo de palma; globo ou troféu.</w:t>
            </w:r>
          </w:p>
        </w:tc>
        <w:tc>
          <w:tcPr>
            <w:tcW w:type="dxa" w:w="170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VICTORIA AVG, VICTORIA AVGG</w:t>
            </w:r>
          </w:p>
        </w:tc>
        <w:tc>
          <w:tcPr>
            <w:tcW w:type="dxa" w:w="226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Não confundir com representações de Fama ou tipos alados variados.</w:t>
            </w:r>
          </w:p>
        </w:tc>
      </w:tr>
      <w:tr>
        <w:trPr>
          <w:cantSplit/>
        </w:trPr>
        <w:tc>
          <w:tcPr>
            <w:tcW w:type="dxa" w:w="1814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Paz (Pax)</w:t>
            </w:r>
          </w:p>
        </w:tc>
        <w:tc>
          <w:tcPr>
            <w:tcW w:type="dxa" w:w="3515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Ramo de oliveira; cornucópia; cetro em certas emissões.</w:t>
            </w:r>
          </w:p>
        </w:tc>
        <w:tc>
          <w:tcPr>
            <w:tcW w:type="dxa" w:w="1701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PAX AVG, PAX AVGVSTI</w:t>
            </w:r>
          </w:p>
        </w:tc>
        <w:tc>
          <w:tcPr>
            <w:tcW w:type="dxa" w:w="2268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Cornucópia também pertence a outras personificações.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Equidade (Aequitas)</w:t>
            </w:r>
          </w:p>
        </w:tc>
        <w:tc>
          <w:tcPr>
            <w:tcW w:type="dxa" w:w="3515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Balança; cornucópia.</w:t>
            </w:r>
          </w:p>
        </w:tc>
        <w:tc>
          <w:tcPr>
            <w:tcW w:type="dxa" w:w="170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AEQVITAS AVG</w:t>
            </w:r>
          </w:p>
        </w:tc>
        <w:tc>
          <w:tcPr>
            <w:tcW w:type="dxa" w:w="226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Nem toda balança isolada permite identificação firme.</w:t>
            </w:r>
          </w:p>
        </w:tc>
      </w:tr>
      <w:tr>
        <w:trPr>
          <w:cantSplit/>
        </w:trPr>
        <w:tc>
          <w:tcPr>
            <w:tcW w:type="dxa" w:w="1814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Abundância (Abundantia)</w:t>
            </w:r>
          </w:p>
        </w:tc>
        <w:tc>
          <w:tcPr>
            <w:tcW w:type="dxa" w:w="3515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Cornucópia; grãos; objetos de fartura.</w:t>
            </w:r>
          </w:p>
        </w:tc>
        <w:tc>
          <w:tcPr>
            <w:tcW w:type="dxa" w:w="1701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ABVNDANTIA AVG</w:t>
            </w:r>
          </w:p>
        </w:tc>
        <w:tc>
          <w:tcPr>
            <w:tcW w:type="dxa" w:w="2268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Distinguir de Annona por legenda e atributos.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Annona</w:t>
            </w:r>
          </w:p>
        </w:tc>
        <w:tc>
          <w:tcPr>
            <w:tcW w:type="dxa" w:w="3515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Espigas; modius; proa de navio; cornucópia.</w:t>
            </w:r>
          </w:p>
        </w:tc>
        <w:tc>
          <w:tcPr>
            <w:tcW w:type="dxa" w:w="170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ANNONA AVG</w:t>
            </w:r>
          </w:p>
        </w:tc>
        <w:tc>
          <w:tcPr>
            <w:tcW w:type="dxa" w:w="226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Relaciona-se ao abastecimento; símbolos variam muito.</w:t>
            </w:r>
          </w:p>
        </w:tc>
      </w:tr>
      <w:tr>
        <w:trPr>
          <w:cantSplit/>
        </w:trPr>
        <w:tc>
          <w:tcPr>
            <w:tcW w:type="dxa" w:w="1814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Salus</w:t>
            </w:r>
          </w:p>
        </w:tc>
        <w:tc>
          <w:tcPr>
            <w:tcW w:type="dxa" w:w="3515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Serpente alimentada de pátera; altar; cetro em certas séries.</w:t>
            </w:r>
          </w:p>
        </w:tc>
        <w:tc>
          <w:tcPr>
            <w:tcW w:type="dxa" w:w="1701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SALVS AVG</w:t>
            </w:r>
          </w:p>
        </w:tc>
        <w:tc>
          <w:tcPr>
            <w:tcW w:type="dxa" w:w="2268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A serpente também pode ocorrer em outros contextos.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Providentia</w:t>
            </w:r>
          </w:p>
        </w:tc>
        <w:tc>
          <w:tcPr>
            <w:tcW w:type="dxa" w:w="3515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Globo; cetro; apontar ou inclinar-se ao globo.</w:t>
            </w:r>
          </w:p>
        </w:tc>
        <w:tc>
          <w:tcPr>
            <w:tcW w:type="dxa" w:w="170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PROVIDENTIA AVG</w:t>
            </w:r>
          </w:p>
        </w:tc>
        <w:tc>
          <w:tcPr>
            <w:tcW w:type="dxa" w:w="226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O globo é atributo compartilhado.</w:t>
            </w:r>
          </w:p>
        </w:tc>
      </w:tr>
    </w:tbl>
    <w:p/>
    <w:p>
      <w:pPr>
        <w:pStyle w:val="Heading1"/>
      </w:pPr>
      <w:r>
        <w:t>2.2 Atlas de consulta: conjunto 2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3515"/>
        <w:gridCol w:w="1701"/>
        <w:gridCol w:w="2268"/>
      </w:tblGrid>
      <w:tr>
        <w:trPr>
          <w:tblHeader/>
        </w:trPr>
        <w:tc>
          <w:tcPr>
            <w:tcW w:type="dxa" w:w="2381"/>
            <w:shd w:fill="193648"/>
          </w:tcPr>
          <w:p>
            <w:pPr>
              <w:spacing w:after="20"/>
            </w:pPr>
            <w:r>
              <w:rPr>
                <w:rFonts w:ascii="Noto Sans" w:hAnsi="Noto Sans"/>
                <w:b/>
                <w:color w:val="FFFFFF"/>
                <w:sz w:val="16"/>
              </w:rPr>
              <w:t>Divindade / conceito</w:t>
            </w:r>
          </w:p>
        </w:tc>
        <w:tc>
          <w:tcPr>
            <w:tcW w:type="dxa" w:w="2381"/>
            <w:shd w:fill="193648"/>
          </w:tcPr>
          <w:p>
            <w:pPr>
              <w:spacing w:after="20"/>
            </w:pPr>
            <w:r>
              <w:rPr>
                <w:rFonts w:ascii="Noto Sans" w:hAnsi="Noto Sans"/>
                <w:b/>
                <w:color w:val="FFFFFF"/>
                <w:sz w:val="16"/>
              </w:rPr>
              <w:t>Atributos frequentes</w:t>
            </w:r>
          </w:p>
        </w:tc>
        <w:tc>
          <w:tcPr>
            <w:tcW w:type="dxa" w:w="2381"/>
            <w:shd w:fill="193648"/>
          </w:tcPr>
          <w:p>
            <w:pPr>
              <w:spacing w:after="20"/>
            </w:pPr>
            <w:r>
              <w:rPr>
                <w:rFonts w:ascii="Noto Sans" w:hAnsi="Noto Sans"/>
                <w:b/>
                <w:color w:val="FFFFFF"/>
                <w:sz w:val="16"/>
              </w:rPr>
              <w:t>Legendas exemplificativas</w:t>
            </w:r>
          </w:p>
        </w:tc>
        <w:tc>
          <w:tcPr>
            <w:tcW w:type="dxa" w:w="2381"/>
            <w:shd w:fill="193648"/>
          </w:tcPr>
          <w:p>
            <w:pPr>
              <w:spacing w:after="20"/>
            </w:pPr>
            <w:r>
              <w:rPr>
                <w:rFonts w:ascii="Noto Sans" w:hAnsi="Noto Sans"/>
                <w:b/>
                <w:color w:val="FFFFFF"/>
                <w:sz w:val="16"/>
              </w:rPr>
              <w:t>Alerta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Concordia</w:t>
            </w:r>
          </w:p>
        </w:tc>
        <w:tc>
          <w:tcPr>
            <w:tcW w:type="dxa" w:w="3515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Pátera, cornucópia, cetro; reunião de mãos em certos tipos.</w:t>
            </w:r>
          </w:p>
        </w:tc>
        <w:tc>
          <w:tcPr>
            <w:tcW w:type="dxa" w:w="170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CONCORDIA AVGG</w:t>
            </w:r>
          </w:p>
        </w:tc>
        <w:tc>
          <w:tcPr>
            <w:tcW w:type="dxa" w:w="226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Nem toda figura dupla é Concordia.</w:t>
            </w:r>
          </w:p>
        </w:tc>
      </w:tr>
      <w:tr>
        <w:trPr>
          <w:cantSplit/>
        </w:trPr>
        <w:tc>
          <w:tcPr>
            <w:tcW w:type="dxa" w:w="1814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Libertas</w:t>
            </w:r>
          </w:p>
        </w:tc>
        <w:tc>
          <w:tcPr>
            <w:tcW w:type="dxa" w:w="3515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Píleo (pileus) e cetro ou vara (vindicta).</w:t>
            </w:r>
          </w:p>
        </w:tc>
        <w:tc>
          <w:tcPr>
            <w:tcW w:type="dxa" w:w="1701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LIBERTAS AVG</w:t>
            </w:r>
          </w:p>
        </w:tc>
        <w:tc>
          <w:tcPr>
            <w:tcW w:type="dxa" w:w="2268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Diferenciar píleo de outros objetos semelhantes.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Felicitas</w:t>
            </w:r>
          </w:p>
        </w:tc>
        <w:tc>
          <w:tcPr>
            <w:tcW w:type="dxa" w:w="3515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Caduceu; cornucópia; muitas variantes.</w:t>
            </w:r>
          </w:p>
        </w:tc>
        <w:tc>
          <w:tcPr>
            <w:tcW w:type="dxa" w:w="170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FELICITAS TEMP, FELICITAS AVG</w:t>
            </w:r>
          </w:p>
        </w:tc>
        <w:tc>
          <w:tcPr>
            <w:tcW w:type="dxa" w:w="226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O caduceu aparece em outras personificações.</w:t>
            </w:r>
          </w:p>
        </w:tc>
      </w:tr>
      <w:tr>
        <w:trPr>
          <w:cantSplit/>
        </w:trPr>
        <w:tc>
          <w:tcPr>
            <w:tcW w:type="dxa" w:w="1814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Fides</w:t>
            </w:r>
          </w:p>
        </w:tc>
        <w:tc>
          <w:tcPr>
            <w:tcW w:type="dxa" w:w="3515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Mãos unidas; estandartes militares; espigas.</w:t>
            </w:r>
          </w:p>
        </w:tc>
        <w:tc>
          <w:tcPr>
            <w:tcW w:type="dxa" w:w="1701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FIDES MILITVM, FIDES PVBLICA</w:t>
            </w:r>
          </w:p>
        </w:tc>
        <w:tc>
          <w:tcPr>
            <w:tcW w:type="dxa" w:w="2268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O atributo depende do tipo e do contexto.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Pietas</w:t>
            </w:r>
          </w:p>
        </w:tc>
        <w:tc>
          <w:tcPr>
            <w:tcW w:type="dxa" w:w="3515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Pátera; altar; gesto de oração; crianças em certas cenas.</w:t>
            </w:r>
          </w:p>
        </w:tc>
        <w:tc>
          <w:tcPr>
            <w:tcW w:type="dxa" w:w="170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PIETAS AVG</w:t>
            </w:r>
          </w:p>
        </w:tc>
        <w:tc>
          <w:tcPr>
            <w:tcW w:type="dxa" w:w="226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O termo envolve dever religioso e familiar.</w:t>
            </w:r>
          </w:p>
        </w:tc>
      </w:tr>
      <w:tr>
        <w:trPr>
          <w:cantSplit/>
        </w:trPr>
        <w:tc>
          <w:tcPr>
            <w:tcW w:type="dxa" w:w="1814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Fortuna</w:t>
            </w:r>
          </w:p>
        </w:tc>
        <w:tc>
          <w:tcPr>
            <w:tcW w:type="dxa" w:w="3515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Leme; cornucópia; roda; globo.</w:t>
            </w:r>
          </w:p>
        </w:tc>
        <w:tc>
          <w:tcPr>
            <w:tcW w:type="dxa" w:w="1701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FORTVNA AVG, FORT RED</w:t>
            </w:r>
          </w:p>
        </w:tc>
        <w:tc>
          <w:tcPr>
            <w:tcW w:type="dxa" w:w="2268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Leme sem legenda não resolve identificação.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Spes</w:t>
            </w:r>
          </w:p>
        </w:tc>
        <w:tc>
          <w:tcPr>
            <w:tcW w:type="dxa" w:w="3515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Flor; elevação da barra da veste; figura avançando.</w:t>
            </w:r>
          </w:p>
        </w:tc>
        <w:tc>
          <w:tcPr>
            <w:tcW w:type="dxa" w:w="170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SPES PVBLICA, SPES REIPVBLICAE</w:t>
            </w:r>
          </w:p>
        </w:tc>
        <w:tc>
          <w:tcPr>
            <w:tcW w:type="dxa" w:w="226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Observe o conjunto flor + gesto da veste.</w:t>
            </w:r>
          </w:p>
        </w:tc>
      </w:tr>
    </w:tbl>
    <w:p/>
    <w:p>
      <w:pPr>
        <w:pStyle w:val="Heading1"/>
      </w:pPr>
      <w:r>
        <w:t>2.3 Atlas de consulta: conjunto 3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3515"/>
        <w:gridCol w:w="1701"/>
        <w:gridCol w:w="2268"/>
      </w:tblGrid>
      <w:tr>
        <w:trPr>
          <w:tblHeader/>
        </w:trPr>
        <w:tc>
          <w:tcPr>
            <w:tcW w:type="dxa" w:w="2381"/>
            <w:shd w:fill="193648"/>
          </w:tcPr>
          <w:p>
            <w:pPr>
              <w:spacing w:after="20"/>
            </w:pPr>
            <w:r>
              <w:rPr>
                <w:rFonts w:ascii="Noto Sans" w:hAnsi="Noto Sans"/>
                <w:b/>
                <w:color w:val="FFFFFF"/>
                <w:sz w:val="16"/>
              </w:rPr>
              <w:t>Divindade / conceito</w:t>
            </w:r>
          </w:p>
        </w:tc>
        <w:tc>
          <w:tcPr>
            <w:tcW w:type="dxa" w:w="2381"/>
            <w:shd w:fill="193648"/>
          </w:tcPr>
          <w:p>
            <w:pPr>
              <w:spacing w:after="20"/>
            </w:pPr>
            <w:r>
              <w:rPr>
                <w:rFonts w:ascii="Noto Sans" w:hAnsi="Noto Sans"/>
                <w:b/>
                <w:color w:val="FFFFFF"/>
                <w:sz w:val="16"/>
              </w:rPr>
              <w:t>Atributos frequentes</w:t>
            </w:r>
          </w:p>
        </w:tc>
        <w:tc>
          <w:tcPr>
            <w:tcW w:type="dxa" w:w="2381"/>
            <w:shd w:fill="193648"/>
          </w:tcPr>
          <w:p>
            <w:pPr>
              <w:spacing w:after="20"/>
            </w:pPr>
            <w:r>
              <w:rPr>
                <w:rFonts w:ascii="Noto Sans" w:hAnsi="Noto Sans"/>
                <w:b/>
                <w:color w:val="FFFFFF"/>
                <w:sz w:val="16"/>
              </w:rPr>
              <w:t>Legendas exemplificativas</w:t>
            </w:r>
          </w:p>
        </w:tc>
        <w:tc>
          <w:tcPr>
            <w:tcW w:type="dxa" w:w="2381"/>
            <w:shd w:fill="193648"/>
          </w:tcPr>
          <w:p>
            <w:pPr>
              <w:spacing w:after="20"/>
            </w:pPr>
            <w:r>
              <w:rPr>
                <w:rFonts w:ascii="Noto Sans" w:hAnsi="Noto Sans"/>
                <w:b/>
                <w:color w:val="FFFFFF"/>
                <w:sz w:val="16"/>
              </w:rPr>
              <w:t>Alerta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Securitas</w:t>
            </w:r>
          </w:p>
        </w:tc>
        <w:tc>
          <w:tcPr>
            <w:tcW w:type="dxa" w:w="3515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Postura relaxada; apoio da cabeça; cetro ou altar.</w:t>
            </w:r>
          </w:p>
        </w:tc>
        <w:tc>
          <w:tcPr>
            <w:tcW w:type="dxa" w:w="170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SECVRITAS PVBLICA</w:t>
            </w:r>
          </w:p>
        </w:tc>
        <w:tc>
          <w:tcPr>
            <w:tcW w:type="dxa" w:w="226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Variantes podem se aproximar de outras figuras sentadas.</w:t>
            </w:r>
          </w:p>
        </w:tc>
      </w:tr>
      <w:tr>
        <w:trPr>
          <w:cantSplit/>
        </w:trPr>
        <w:tc>
          <w:tcPr>
            <w:tcW w:type="dxa" w:w="1814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Moneta</w:t>
            </w:r>
          </w:p>
        </w:tc>
        <w:tc>
          <w:tcPr>
            <w:tcW w:type="dxa" w:w="3515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Balança e cornucópia; em certas emissões várias figuras.</w:t>
            </w:r>
          </w:p>
        </w:tc>
        <w:tc>
          <w:tcPr>
            <w:tcW w:type="dxa" w:w="1701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MONETA AVG</w:t>
            </w:r>
          </w:p>
        </w:tc>
        <w:tc>
          <w:tcPr>
            <w:tcW w:type="dxa" w:w="2268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Balança não indica automaticamente Aequitas.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Roma</w:t>
            </w:r>
          </w:p>
        </w:tc>
        <w:tc>
          <w:tcPr>
            <w:tcW w:type="dxa" w:w="3515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Capacete; lança; escudo; figura entronizada.</w:t>
            </w:r>
          </w:p>
        </w:tc>
        <w:tc>
          <w:tcPr>
            <w:tcW w:type="dxa" w:w="170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ROMA AETERNA</w:t>
            </w:r>
          </w:p>
        </w:tc>
        <w:tc>
          <w:tcPr>
            <w:tcW w:type="dxa" w:w="226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Pode ser confundida com Minerva sem legenda.</w:t>
            </w:r>
          </w:p>
        </w:tc>
      </w:tr>
      <w:tr>
        <w:trPr>
          <w:cantSplit/>
        </w:trPr>
        <w:tc>
          <w:tcPr>
            <w:tcW w:type="dxa" w:w="1814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Júpiter (Iuppiter)</w:t>
            </w:r>
          </w:p>
        </w:tc>
        <w:tc>
          <w:tcPr>
            <w:tcW w:type="dxa" w:w="3515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Raio; cetro; águia; globo em certas séries.</w:t>
            </w:r>
          </w:p>
        </w:tc>
        <w:tc>
          <w:tcPr>
            <w:tcW w:type="dxa" w:w="1701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IOVI CONSERVATORI</w:t>
            </w:r>
          </w:p>
        </w:tc>
        <w:tc>
          <w:tcPr>
            <w:tcW w:type="dxa" w:w="2268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Águia sozinha não comprova Júpiter.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Marte (Mars)</w:t>
            </w:r>
          </w:p>
        </w:tc>
        <w:tc>
          <w:tcPr>
            <w:tcW w:type="dxa" w:w="3515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Capacete; lança; escudo; troféu.</w:t>
            </w:r>
          </w:p>
        </w:tc>
        <w:tc>
          <w:tcPr>
            <w:tcW w:type="dxa" w:w="170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MARTI VICTORI, MARTI PACIFERO</w:t>
            </w:r>
          </w:p>
        </w:tc>
        <w:tc>
          <w:tcPr>
            <w:tcW w:type="dxa" w:w="226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Guerreiros anônimos podem ter atributos semelhantes.</w:t>
            </w:r>
          </w:p>
        </w:tc>
      </w:tr>
      <w:tr>
        <w:trPr>
          <w:cantSplit/>
        </w:trPr>
        <w:tc>
          <w:tcPr>
            <w:tcW w:type="dxa" w:w="1814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Sol</w:t>
            </w:r>
          </w:p>
        </w:tc>
        <w:tc>
          <w:tcPr>
            <w:tcW w:type="dxa" w:w="3515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Coroa radiada; braço erguido; globo; quadriga em variantes.</w:t>
            </w:r>
          </w:p>
        </w:tc>
        <w:tc>
          <w:tcPr>
            <w:tcW w:type="dxa" w:w="1701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SOLI INVICTO COMITI</w:t>
            </w:r>
          </w:p>
        </w:tc>
        <w:tc>
          <w:tcPr>
            <w:tcW w:type="dxa" w:w="2268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Figura radiada isolada não é sempre Sol.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Minerva</w:t>
            </w:r>
          </w:p>
        </w:tc>
        <w:tc>
          <w:tcPr>
            <w:tcW w:type="dxa" w:w="3515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Capacete; lança; escudo; égide; coruja ocasional.</w:t>
            </w:r>
          </w:p>
        </w:tc>
        <w:tc>
          <w:tcPr>
            <w:tcW w:type="dxa" w:w="170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MINERVA AVG</w:t>
            </w:r>
          </w:p>
        </w:tc>
        <w:tc>
          <w:tcPr>
            <w:tcW w:type="dxa" w:w="226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Roma e Virtus podem compartilhar componentes.</w:t>
            </w:r>
          </w:p>
        </w:tc>
      </w:tr>
    </w:tbl>
    <w:p/>
    <w:p>
      <w:pPr>
        <w:pStyle w:val="Heading1"/>
      </w:pPr>
      <w:r>
        <w:t>2.4 Atlas de consulta: conjunto 4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3515"/>
        <w:gridCol w:w="1701"/>
        <w:gridCol w:w="2268"/>
      </w:tblGrid>
      <w:tr>
        <w:trPr>
          <w:tblHeader/>
        </w:trPr>
        <w:tc>
          <w:tcPr>
            <w:tcW w:type="dxa" w:w="2381"/>
            <w:shd w:fill="193648"/>
          </w:tcPr>
          <w:p>
            <w:pPr>
              <w:spacing w:after="20"/>
            </w:pPr>
            <w:r>
              <w:rPr>
                <w:rFonts w:ascii="Noto Sans" w:hAnsi="Noto Sans"/>
                <w:b/>
                <w:color w:val="FFFFFF"/>
                <w:sz w:val="16"/>
              </w:rPr>
              <w:t>Divindade / conceito</w:t>
            </w:r>
          </w:p>
        </w:tc>
        <w:tc>
          <w:tcPr>
            <w:tcW w:type="dxa" w:w="2381"/>
            <w:shd w:fill="193648"/>
          </w:tcPr>
          <w:p>
            <w:pPr>
              <w:spacing w:after="20"/>
            </w:pPr>
            <w:r>
              <w:rPr>
                <w:rFonts w:ascii="Noto Sans" w:hAnsi="Noto Sans"/>
                <w:b/>
                <w:color w:val="FFFFFF"/>
                <w:sz w:val="16"/>
              </w:rPr>
              <w:t>Atributos frequentes</w:t>
            </w:r>
          </w:p>
        </w:tc>
        <w:tc>
          <w:tcPr>
            <w:tcW w:type="dxa" w:w="2381"/>
            <w:shd w:fill="193648"/>
          </w:tcPr>
          <w:p>
            <w:pPr>
              <w:spacing w:after="20"/>
            </w:pPr>
            <w:r>
              <w:rPr>
                <w:rFonts w:ascii="Noto Sans" w:hAnsi="Noto Sans"/>
                <w:b/>
                <w:color w:val="FFFFFF"/>
                <w:sz w:val="16"/>
              </w:rPr>
              <w:t>Legendas exemplificativas</w:t>
            </w:r>
          </w:p>
        </w:tc>
        <w:tc>
          <w:tcPr>
            <w:tcW w:type="dxa" w:w="2381"/>
            <w:shd w:fill="193648"/>
          </w:tcPr>
          <w:p>
            <w:pPr>
              <w:spacing w:after="20"/>
            </w:pPr>
            <w:r>
              <w:rPr>
                <w:rFonts w:ascii="Noto Sans" w:hAnsi="Noto Sans"/>
                <w:b/>
                <w:color w:val="FFFFFF"/>
                <w:sz w:val="16"/>
              </w:rPr>
              <w:t>Alerta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Juno</w:t>
            </w:r>
          </w:p>
        </w:tc>
        <w:tc>
          <w:tcPr>
            <w:tcW w:type="dxa" w:w="3515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Pátera; cetro; pavão em certos tipos.</w:t>
            </w:r>
          </w:p>
        </w:tc>
        <w:tc>
          <w:tcPr>
            <w:tcW w:type="dxa" w:w="170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IVNO REGINA</w:t>
            </w:r>
          </w:p>
        </w:tc>
        <w:tc>
          <w:tcPr>
            <w:tcW w:type="dxa" w:w="226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Identidade precisa depende da legenda e dos atributos.</w:t>
            </w:r>
          </w:p>
        </w:tc>
      </w:tr>
      <w:tr>
        <w:trPr>
          <w:cantSplit/>
        </w:trPr>
        <w:tc>
          <w:tcPr>
            <w:tcW w:type="dxa" w:w="1814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Ceres</w:t>
            </w:r>
          </w:p>
        </w:tc>
        <w:tc>
          <w:tcPr>
            <w:tcW w:type="dxa" w:w="3515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Espigas; tocha; cetro; modius em contextos afins.</w:t>
            </w:r>
          </w:p>
        </w:tc>
        <w:tc>
          <w:tcPr>
            <w:tcW w:type="dxa" w:w="1701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CERERI FRVGIF</w:t>
            </w:r>
          </w:p>
        </w:tc>
        <w:tc>
          <w:tcPr>
            <w:tcW w:type="dxa" w:w="2268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Observe o contexto agrícola.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Vênus (Venus)</w:t>
            </w:r>
          </w:p>
        </w:tc>
        <w:tc>
          <w:tcPr>
            <w:tcW w:type="dxa" w:w="3515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Maçã; cetro; espelho; elmo ou escudo em algumas séries.</w:t>
            </w:r>
          </w:p>
        </w:tc>
        <w:tc>
          <w:tcPr>
            <w:tcW w:type="dxa" w:w="170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VENVS VICTRIX</w:t>
            </w:r>
          </w:p>
        </w:tc>
        <w:tc>
          <w:tcPr>
            <w:tcW w:type="dxa" w:w="226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A iconografia de Vênus varia amplamente.</w:t>
            </w:r>
          </w:p>
        </w:tc>
      </w:tr>
      <w:tr>
        <w:trPr>
          <w:cantSplit/>
        </w:trPr>
        <w:tc>
          <w:tcPr>
            <w:tcW w:type="dxa" w:w="1814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Genius</w:t>
            </w:r>
          </w:p>
        </w:tc>
        <w:tc>
          <w:tcPr>
            <w:tcW w:type="dxa" w:w="3515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Modius na cabeça, pátera e cornucópia em certas emissões.</w:t>
            </w:r>
          </w:p>
        </w:tc>
        <w:tc>
          <w:tcPr>
            <w:tcW w:type="dxa" w:w="1701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GENIO POPVLI ROMANI</w:t>
            </w:r>
          </w:p>
        </w:tc>
        <w:tc>
          <w:tcPr>
            <w:tcW w:type="dxa" w:w="2268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Há muitos Genii de cidades e unidades.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Gloria Exercitus</w:t>
            </w:r>
          </w:p>
        </w:tc>
        <w:tc>
          <w:tcPr>
            <w:tcW w:type="dxa" w:w="3515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Dois soldados e estandartes, ou outras composições correlatas.</w:t>
            </w:r>
          </w:p>
        </w:tc>
        <w:tc>
          <w:tcPr>
            <w:tcW w:type="dxa" w:w="170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GLORIA EXERCITVS</w:t>
            </w:r>
          </w:p>
        </w:tc>
        <w:tc>
          <w:tcPr>
            <w:tcW w:type="dxa" w:w="226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É legenda/tipo, não personificação individual.</w:t>
            </w:r>
          </w:p>
        </w:tc>
      </w:tr>
    </w:tbl>
    <w:p/>
    <w:p>
      <w:pPr>
        <w:pStyle w:val="Heading1"/>
      </w:pPr>
      <w:r>
        <w:t>3. Do atributo à hipótese: quatro casos</w:t>
      </w:r>
    </w:p>
    <w:p>
      <w:r>
        <w:rPr>
          <w:rFonts w:ascii="Noto Sans" w:hAnsi="Noto Sans"/>
          <w:b/>
          <w:color w:val="193648"/>
          <w:sz w:val="18"/>
        </w:rPr>
        <w:t xml:space="preserve">Coroa e palma. </w:t>
      </w:r>
      <w:r>
        <w:t>Vitória pode portar coroa e palma. O British Museum descreve precisamente esse conjunto num quinário de Domiciano. A legenda e o tipo delimitam a atribuição.</w:t>
      </w:r>
    </w:p>
    <w:p>
      <w:r>
        <w:rPr>
          <w:rFonts w:ascii="Noto Sans" w:hAnsi="Noto Sans"/>
          <w:b/>
          <w:color w:val="193648"/>
          <w:sz w:val="18"/>
        </w:rPr>
        <w:t xml:space="preserve">Oliveira e cornucópia. </w:t>
      </w:r>
      <w:r>
        <w:t>Pax surge com ramo de oliveira e cornucópia em denário de Otaviano catalogado no British Museum. O exemplo mostra que o atributo não basta sem época.</w:t>
      </w:r>
    </w:p>
    <w:p>
      <w:r>
        <w:rPr>
          <w:rFonts w:ascii="Noto Sans" w:hAnsi="Noto Sans"/>
          <w:b/>
          <w:color w:val="193648"/>
          <w:sz w:val="18"/>
        </w:rPr>
        <w:t xml:space="preserve">Serpente, altar e pátera. </w:t>
      </w:r>
      <w:r>
        <w:t>Salus aparece alimentando serpente em moeda de Adriano, uma composição particularmente útil para reconhecimento.</w:t>
      </w:r>
    </w:p>
    <w:p>
      <w:r>
        <w:rPr>
          <w:rFonts w:ascii="Noto Sans" w:hAnsi="Noto Sans"/>
          <w:b/>
          <w:color w:val="193648"/>
          <w:sz w:val="18"/>
        </w:rPr>
        <w:t xml:space="preserve">Globo e cetro. </w:t>
      </w:r>
      <w:r>
        <w:t>Providentia aponta para globo em moeda de Antonino Pio, exemplificando leitura de gesto e objeto em conjunto.</w:t>
      </w:r>
    </w:p>
    <w:p>
      <w:pPr>
        <w:pStyle w:val="Heading1"/>
      </w:pPr>
      <w:r>
        <w:t>4. Coleções temáticas que podem nascer deste atlas</w:t>
      </w:r>
    </w:p>
    <w:p>
      <w:pPr>
        <w:pStyle w:val="ListBullet"/>
        <w:ind w:left="340" w:hanging="142"/>
      </w:pPr>
      <w:r>
        <w:t>Figuras da vitória, do exército e do poder militar.</w:t>
      </w:r>
    </w:p>
    <w:p>
      <w:pPr>
        <w:pStyle w:val="ListBullet"/>
        <w:ind w:left="340" w:hanging="142"/>
      </w:pPr>
      <w:r>
        <w:t>Personificações da ordem pública: Pax, Securitas, Concordia, Fides e Providentia.</w:t>
      </w:r>
    </w:p>
    <w:p>
      <w:pPr>
        <w:pStyle w:val="ListBullet"/>
        <w:ind w:left="340" w:hanging="142"/>
      </w:pPr>
      <w:r>
        <w:t>Religião e legitimidade: Júpiter, Juno, Minerva, Ceres e Sol.</w:t>
      </w:r>
    </w:p>
    <w:p>
      <w:pPr>
        <w:pStyle w:val="ListBullet"/>
        <w:ind w:left="340" w:hanging="142"/>
      </w:pPr>
      <w:r>
        <w:t>Bem-estar e prosperidade: Salus, Felicitas, Fortuna, Abundantia e Annona.</w:t>
      </w:r>
    </w:p>
    <w:p>
      <w:pPr>
        <w:pStyle w:val="ListBullet"/>
        <w:ind w:left="340" w:hanging="142"/>
      </w:pPr>
      <w:r>
        <w:t>A transformação dos tipos iconográficos do Principado à Antiguidade Tardia.</w:t>
      </w:r>
    </w:p>
    <w:p>
      <w:pPr>
        <w:pStyle w:val="Heading1"/>
      </w:pPr>
      <w:r>
        <w:t>5. Ficha de identificação iconográfica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91"/>
        <w:gridCol w:w="6406"/>
      </w:tblGrid>
      <w:tr>
        <w:trPr>
          <w:tblHeader/>
        </w:trPr>
        <w:tc>
          <w:tcPr>
            <w:tcW w:type="dxa" w:w="4762"/>
            <w:shd w:fill="193648"/>
          </w:tcPr>
          <w:p>
            <w:pPr>
              <w:spacing w:after="20"/>
            </w:pPr>
            <w:r>
              <w:rPr>
                <w:rFonts w:ascii="Noto Sans" w:hAnsi="Noto Sans"/>
                <w:b/>
                <w:color w:val="FFFFFF"/>
                <w:sz w:val="16"/>
              </w:rPr>
              <w:t>Pergunta de controle</w:t>
            </w:r>
          </w:p>
        </w:tc>
        <w:tc>
          <w:tcPr>
            <w:tcW w:type="dxa" w:w="4762"/>
            <w:shd w:fill="193648"/>
          </w:tcPr>
          <w:p>
            <w:pPr>
              <w:spacing w:after="20"/>
            </w:pPr>
            <w:r>
              <w:rPr>
                <w:rFonts w:ascii="Noto Sans" w:hAnsi="Noto Sans"/>
                <w:b/>
                <w:color w:val="FFFFFF"/>
                <w:sz w:val="16"/>
              </w:rPr>
              <w:t>Anotação do colecionador</w:t>
            </w:r>
          </w:p>
        </w:tc>
      </w:tr>
      <w:tr>
        <w:trPr>
          <w:cantSplit/>
        </w:trPr>
        <w:tc>
          <w:tcPr>
            <w:tcW w:type="dxa" w:w="289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Autoridade e data sugeridas</w:t>
            </w:r>
          </w:p>
        </w:tc>
        <w:tc>
          <w:tcPr>
            <w:tcW w:type="dxa" w:w="6406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_____________________________________________________________</w:t>
            </w:r>
          </w:p>
        </w:tc>
      </w:tr>
      <w:tr>
        <w:trPr>
          <w:cantSplit/>
        </w:trPr>
        <w:tc>
          <w:tcPr>
            <w:tcW w:type="dxa" w:w="2891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Legenda do reverso</w:t>
            </w:r>
          </w:p>
        </w:tc>
        <w:tc>
          <w:tcPr>
            <w:tcW w:type="dxa" w:w="6406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_____________________________________________________________</w:t>
            </w:r>
          </w:p>
        </w:tc>
      </w:tr>
      <w:tr>
        <w:trPr>
          <w:cantSplit/>
        </w:trPr>
        <w:tc>
          <w:tcPr>
            <w:tcW w:type="dxa" w:w="289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Figura e posição</w:t>
            </w:r>
          </w:p>
        </w:tc>
        <w:tc>
          <w:tcPr>
            <w:tcW w:type="dxa" w:w="6406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_____________________________________________________________</w:t>
            </w:r>
          </w:p>
        </w:tc>
      </w:tr>
      <w:tr>
        <w:trPr>
          <w:cantSplit/>
        </w:trPr>
        <w:tc>
          <w:tcPr>
            <w:tcW w:type="dxa" w:w="2891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Atributos vistos</w:t>
            </w:r>
          </w:p>
        </w:tc>
        <w:tc>
          <w:tcPr>
            <w:tcW w:type="dxa" w:w="6406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_____________________________________________________________</w:t>
            </w:r>
          </w:p>
        </w:tc>
      </w:tr>
      <w:tr>
        <w:trPr>
          <w:cantSplit/>
        </w:trPr>
        <w:tc>
          <w:tcPr>
            <w:tcW w:type="dxa" w:w="289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Elementos ausentes / desgaste</w:t>
            </w:r>
          </w:p>
        </w:tc>
        <w:tc>
          <w:tcPr>
            <w:tcW w:type="dxa" w:w="6406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_____________________________________________________________</w:t>
            </w:r>
          </w:p>
        </w:tc>
      </w:tr>
      <w:tr>
        <w:trPr>
          <w:cantSplit/>
        </w:trPr>
        <w:tc>
          <w:tcPr>
            <w:tcW w:type="dxa" w:w="2891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Duas hipóteses concorrentes</w:t>
            </w:r>
          </w:p>
        </w:tc>
        <w:tc>
          <w:tcPr>
            <w:tcW w:type="dxa" w:w="6406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_____________________________________________________________</w:t>
            </w:r>
          </w:p>
        </w:tc>
      </w:tr>
      <w:tr>
        <w:trPr>
          <w:cantSplit/>
        </w:trPr>
        <w:tc>
          <w:tcPr>
            <w:tcW w:type="dxa" w:w="289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Referência que confirma o tipo</w:t>
            </w:r>
          </w:p>
        </w:tc>
        <w:tc>
          <w:tcPr>
            <w:tcW w:type="dxa" w:w="6406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_____________________________________________________________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524"/>
      </w:tblGrid>
      <w:tr>
        <w:tc>
          <w:tcPr>
            <w:tcW w:type="dxa" w:w="9524"/>
            <w:shd w:fill="EFF4F4"/>
          </w:tcPr>
          <w:p>
            <w:pPr>
              <w:spacing w:after="40"/>
            </w:pPr>
            <w:r/>
            <w:r>
              <w:rPr>
                <w:rFonts w:ascii="Noto Sans" w:hAnsi="Noto Sans"/>
                <w:b/>
                <w:color w:val="A36F40"/>
                <w:sz w:val="17"/>
              </w:rPr>
              <w:t xml:space="preserve">MÉTODO: </w:t>
            </w:r>
            <w:r>
              <w:rPr>
                <w:rFonts w:ascii="Noto Sans" w:hAnsi="Noto Sans"/>
                <w:b w:val="0"/>
                <w:color w:val="193648"/>
                <w:sz w:val="17"/>
              </w:rPr>
              <w:t>Se a moeda estiver desgastada, registre “figura feminina não determinada” em lugar de forçar Salus, Pax ou Fortuna. Uma identificação cautelosa é cientificamente superior a uma atribuição atraente, porém sem sustentação.</w:t>
            </w:r>
          </w:p>
        </w:tc>
      </w:tr>
    </w:tbl>
    <w:p/>
    <w:p>
      <w:pPr>
        <w:pStyle w:val="Heading1"/>
      </w:pPr>
      <w:r>
        <w:t>Fontes de conferência e exemplos documentados</w:t>
      </w:r>
    </w:p>
    <w:p>
      <w:r>
        <w:t>As indicações abaixo foram usadas para controlar a terminologia e orientar a pesquisa. Referências eletrônicas podem ser atualizadas por suas instituições mantenedoras.</w:t>
      </w:r>
    </w:p>
    <w:p>
      <w:pPr>
        <w:spacing w:after="40"/>
      </w:pPr>
      <w:r>
        <w:rPr>
          <w:rFonts w:ascii="Noto Sans" w:hAnsi="Noto Sans"/>
          <w:b/>
          <w:color w:val="193648"/>
          <w:sz w:val="16"/>
        </w:rPr>
        <w:t xml:space="preserve">• British Museum, Victoria com coroa e palma: </w:t>
      </w:r>
      <w:hyperlink r:id="rId12">
        <w:r>
          <w:rPr>
            <w:color w:val="266C76"/>
            <w:u w:val="single"/>
            <w:rFonts w:ascii="Noto Sans" w:hAnsi="Noto Sans"/>
          </w:rPr>
          <w:t>acessar fonte</w:t>
        </w:r>
      </w:hyperlink>
    </w:p>
    <w:p>
      <w:pPr>
        <w:spacing w:after="40"/>
      </w:pPr>
      <w:r>
        <w:rPr>
          <w:rFonts w:ascii="Noto Sans" w:hAnsi="Noto Sans"/>
          <w:b/>
          <w:color w:val="193648"/>
          <w:sz w:val="16"/>
        </w:rPr>
        <w:t xml:space="preserve">• British Museum, Pax com ramo e cornucópia: </w:t>
      </w:r>
      <w:hyperlink r:id="rId13">
        <w:r>
          <w:rPr>
            <w:color w:val="266C76"/>
            <w:u w:val="single"/>
            <w:rFonts w:ascii="Noto Sans" w:hAnsi="Noto Sans"/>
          </w:rPr>
          <w:t>acessar fonte</w:t>
        </w:r>
      </w:hyperlink>
    </w:p>
    <w:p>
      <w:pPr>
        <w:spacing w:after="40"/>
      </w:pPr>
      <w:r>
        <w:rPr>
          <w:rFonts w:ascii="Noto Sans" w:hAnsi="Noto Sans"/>
          <w:b/>
          <w:color w:val="193648"/>
          <w:sz w:val="16"/>
        </w:rPr>
        <w:t xml:space="preserve">• British Museum, Salus com serpente: </w:t>
      </w:r>
      <w:hyperlink r:id="rId14">
        <w:r>
          <w:rPr>
            <w:color w:val="266C76"/>
            <w:u w:val="single"/>
            <w:rFonts w:ascii="Noto Sans" w:hAnsi="Noto Sans"/>
          </w:rPr>
          <w:t>acessar fonte</w:t>
        </w:r>
      </w:hyperlink>
    </w:p>
    <w:p>
      <w:pPr>
        <w:spacing w:after="40"/>
      </w:pPr>
      <w:r>
        <w:rPr>
          <w:rFonts w:ascii="Noto Sans" w:hAnsi="Noto Sans"/>
          <w:b/>
          <w:color w:val="193648"/>
          <w:sz w:val="16"/>
        </w:rPr>
        <w:t xml:space="preserve">• British Museum, Providentia com globo: </w:t>
      </w:r>
      <w:hyperlink r:id="rId15">
        <w:r>
          <w:rPr>
            <w:color w:val="266C76"/>
            <w:u w:val="single"/>
            <w:rFonts w:ascii="Noto Sans" w:hAnsi="Noto Sans"/>
          </w:rPr>
          <w:t>acessar fonte</w:t>
        </w:r>
      </w:hyperlink>
    </w:p>
    <w:p>
      <w:pPr>
        <w:spacing w:after="40"/>
      </w:pPr>
      <w:r>
        <w:rPr>
          <w:rFonts w:ascii="Noto Sans" w:hAnsi="Noto Sans"/>
          <w:b/>
          <w:color w:val="193648"/>
          <w:sz w:val="16"/>
        </w:rPr>
        <w:t xml:space="preserve">• OCRE, busca por iconografia: </w:t>
      </w:r>
      <w:hyperlink r:id="rId16">
        <w:r>
          <w:rPr>
            <w:color w:val="266C76"/>
            <w:u w:val="single"/>
            <w:rFonts w:ascii="Noto Sans" w:hAnsi="Noto Sans"/>
          </w:rPr>
          <w:t>acessar fonte</w:t>
        </w:r>
      </w:hyperlink>
    </w:p>
    <w:p>
      <w:pPr>
        <w:pStyle w:val="Heading1"/>
      </w:pPr>
      <w:r>
        <w:t>Conheça o acervo e o catálogo da TH Numismática</w:t>
      </w:r>
    </w:p>
    <w:p>
      <w:r>
        <w:t>A iconografia permite criar coleções de diferentes reinados. Compare os reversos e pesquise exemplares do seu tema na TH. Material gratuito extraído de thnumismatica.com.br. Compartilhe mantendo a indicação da fonte.</w:t>
      </w:r>
    </w:p>
    <w:p>
      <w:hyperlink r:id="rId17">
        <w:r>
          <w:rPr>
            <w:color w:val="266C76"/>
            <w:u w:val="single"/>
            <w:rFonts w:ascii="Noto Sans" w:hAnsi="Noto Sans"/>
          </w:rPr>
          <w:t>Visite thnumismatica.com.br</w:t>
        </w:r>
      </w:hyperlink>
    </w:p>
    <w:sectPr w:rsidR="00FC693F" w:rsidRPr="0006063C" w:rsidSect="00034616">
      <w:headerReference w:type="default" r:id="rId9"/>
      <w:footerReference w:type="default" r:id="rId10"/>
      <w:pgSz w:w="11906" w:h="16838"/>
      <w:pgMar w:top="992" w:right="1191" w:bottom="879" w:left="1191" w:header="369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Noto Sans" w:hAnsi="Noto Sans"/>
        <w:b w:val="0"/>
        <w:color w:val="526875"/>
        <w:sz w:val="14"/>
      </w:rPr>
      <w:t xml:space="preserve">Arquivo extraído do site thnumismatica.com.br   •   Material 16   •   Versão 1.1   •   2026   |   pág.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Noto Sans" w:hAnsi="Noto Sans"/>
        <w:b/>
        <w:color w:val="266C76"/>
        <w:sz w:val="14"/>
      </w:rPr>
      <w:t>TH NUMISMÁTICA   |   BIBLIOTECA DO COLECIONADOR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4" w:lineRule="auto"/>
    </w:pPr>
    <w:rPr>
      <w:rFonts w:ascii="Noto Sans" w:hAnsi="Noto Sans"/>
      <w:color w:val="193648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Noto Sans" w:hAnsi="Noto Sans"/>
      <w:b/>
      <w:bCs/>
      <w:color w:val="193648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Theme="majorHAnsi" w:eastAsiaTheme="majorEastAsia" w:hAnsiTheme="majorHAnsi" w:cstheme="majorBidi" w:ascii="Noto Sans" w:hAnsi="Noto Sans"/>
      <w:b/>
      <w:bCs/>
      <w:color w:val="266C76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Noto Sans" w:hAnsi="Noto Sans"/>
      <w:b/>
      <w:color w:val="193648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hyperlink" Target="https://www.britishmuseum.org/collection/object/C_1860-0330-79" TargetMode="External"/><Relationship Id="rId13" Type="http://schemas.openxmlformats.org/officeDocument/2006/relationships/hyperlink" Target="https://www.britishmuseum.org/collection/object/C_R-6159" TargetMode="External"/><Relationship Id="rId14" Type="http://schemas.openxmlformats.org/officeDocument/2006/relationships/hyperlink" Target="https://www.britishmuseum.org/collection/object/C_R-9740" TargetMode="External"/><Relationship Id="rId15" Type="http://schemas.openxmlformats.org/officeDocument/2006/relationships/hyperlink" Target="https://www.britishmuseum.org/collection/object/C_R-13852" TargetMode="External"/><Relationship Id="rId16" Type="http://schemas.openxmlformats.org/officeDocument/2006/relationships/hyperlink" Target="https://numismatics.org/ocre/search" TargetMode="External"/><Relationship Id="rId17" Type="http://schemas.openxmlformats.org/officeDocument/2006/relationships/hyperlink" Target="https://thnumismatica.com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