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Noto Sans" w:hAnsi="Noto Sans"/>
          <w:b/>
          <w:color w:val="A36F40"/>
          <w:sz w:val="16"/>
        </w:rPr>
        <w:t>FERRAMENTA GRATUITA 17   /   PLANILHA DE DECISÃO   /   OUTUBRO DE 2026</w:t>
      </w:r>
    </w:p>
    <w:p>
      <w:pPr>
        <w:pStyle w:val="Title"/>
      </w:pPr>
      <w:r>
        <w:t>Calculadora do custo total de moedas compradas no exterior</w:t>
      </w:r>
    </w:p>
    <w:p>
      <w:r>
        <w:rPr>
          <w:rFonts w:ascii="Noto Sans" w:hAnsi="Noto Sans"/>
          <w:b w:val="0"/>
          <w:color w:val="526875"/>
          <w:sz w:val="20"/>
        </w:rPr>
        <w:t>Manual e simulador de cenários. Calcule o desembolso aproximado sem confundir simulação particular com tributação oficial.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5"/>
        <w:gridCol w:w="1134"/>
      </w:tblGrid>
      <w:tr>
        <w:tc>
          <w:tcPr>
            <w:tcW w:type="dxa" w:w="4762"/>
            <w:shd w:fill="EFF4F4"/>
          </w:tcPr>
          <w:p>
            <w:pPr>
              <w:spacing w:after="4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USO EDUCATIVO | Material gratuito da TH Numismática. Reproduza com identificação da origem.</w:t>
            </w:r>
          </w:p>
        </w:tc>
        <w:tc>
          <w:tcPr>
            <w:tcW w:type="dxa" w:w="4762"/>
            <w:shd w:fill="193648"/>
          </w:tcPr>
          <w:p>
            <w:pPr>
              <w:jc w:val="center"/>
            </w:pPr>
            <w:r>
              <w:rPr>
                <w:rFonts w:ascii="Noto Sans" w:hAnsi="Noto Sans"/>
                <w:b/>
                <w:color w:val="FFFFFF"/>
                <w:sz w:val="24"/>
              </w:rPr>
              <w:t>TH</w:t>
            </w:r>
          </w:p>
        </w:tc>
      </w:tr>
    </w:tbl>
    <w:p/>
    <w:p>
      <w:pPr>
        <w:pStyle w:val="Heading1"/>
      </w:pPr>
      <w:r>
        <w:t>1. O que a planilha faz</w:t>
      </w:r>
    </w:p>
    <w:p>
      <w:r>
        <w:t>O arquivo Excel calcula um cenário de aquisição estrangeira a partir do preço da moeda, taxa de leilão, frete, seguro, câmbio informado pelo usuário, despesas financeiras, estimativa de imposto de importação, eventual desconto e ICMS. Também permite comparar custo final de uma moeda no Brasil. Não indica se determinada importação é permitida nem substitui os cálculos da autoridade aduaneira.</w:t>
      </w:r>
    </w:p>
    <w:p>
      <w:pPr>
        <w:pStyle w:val="Heading1"/>
      </w:pPr>
      <w:r>
        <w:t>2. Campos e critérios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31"/>
        <w:gridCol w:w="1701"/>
        <w:gridCol w:w="4365"/>
      </w:tblGrid>
      <w:tr>
        <w:trPr>
          <w:tblHeader/>
        </w:trPr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Campo editável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Unidade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Orientação</w:t>
            </w:r>
          </w:p>
        </w:tc>
      </w:tr>
      <w:tr>
        <w:trPr>
          <w:cantSplit/>
        </w:trPr>
        <w:tc>
          <w:tcPr>
            <w:tcW w:type="dxa" w:w="323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Moeda / referência do lote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Texto</w:t>
            </w:r>
          </w:p>
        </w:tc>
        <w:tc>
          <w:tcPr>
            <w:tcW w:type="dxa" w:w="436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Guarde link e identificação para documentação.</w:t>
            </w:r>
          </w:p>
        </w:tc>
      </w:tr>
      <w:tr>
        <w:trPr>
          <w:cantSplit/>
        </w:trPr>
        <w:tc>
          <w:tcPr>
            <w:tcW w:type="dxa" w:w="323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Preço de arremate</w:t>
            </w:r>
          </w:p>
        </w:tc>
        <w:tc>
          <w:tcPr>
            <w:tcW w:type="dxa" w:w="170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Moeda estrangeira</w:t>
            </w:r>
          </w:p>
        </w:tc>
        <w:tc>
          <w:tcPr>
            <w:tcW w:type="dxa" w:w="436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Somente a moeda, sem comissão.</w:t>
            </w:r>
          </w:p>
        </w:tc>
      </w:tr>
      <w:tr>
        <w:trPr>
          <w:cantSplit/>
        </w:trPr>
        <w:tc>
          <w:tcPr>
            <w:tcW w:type="dxa" w:w="323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Comissão do leilão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%</w:t>
            </w:r>
          </w:p>
        </w:tc>
        <w:tc>
          <w:tcPr>
            <w:tcW w:type="dxa" w:w="436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Inserir taxa informada pelo leiloeiro.</w:t>
            </w:r>
          </w:p>
        </w:tc>
      </w:tr>
      <w:tr>
        <w:trPr>
          <w:cantSplit/>
        </w:trPr>
        <w:tc>
          <w:tcPr>
            <w:tcW w:type="dxa" w:w="323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Frete e seguro</w:t>
            </w:r>
          </w:p>
        </w:tc>
        <w:tc>
          <w:tcPr>
            <w:tcW w:type="dxa" w:w="170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Moeda estrangeira</w:t>
            </w:r>
          </w:p>
        </w:tc>
        <w:tc>
          <w:tcPr>
            <w:tcW w:type="dxa" w:w="436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Valores cotados antes da compra.</w:t>
            </w:r>
          </w:p>
        </w:tc>
      </w:tr>
      <w:tr>
        <w:trPr>
          <w:cantSplit/>
        </w:trPr>
        <w:tc>
          <w:tcPr>
            <w:tcW w:type="dxa" w:w="323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Cotação final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R$ por unidade estrangeira</w:t>
            </w:r>
          </w:p>
        </w:tc>
        <w:tc>
          <w:tcPr>
            <w:tcW w:type="dxa" w:w="436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Preferir a taxa efetiva do meio de pagamento.</w:t>
            </w:r>
          </w:p>
        </w:tc>
      </w:tr>
      <w:tr>
        <w:trPr>
          <w:cantSplit/>
        </w:trPr>
        <w:tc>
          <w:tcPr>
            <w:tcW w:type="dxa" w:w="323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Encargo financeiro</w:t>
            </w:r>
          </w:p>
        </w:tc>
        <w:tc>
          <w:tcPr>
            <w:tcW w:type="dxa" w:w="170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%</w:t>
            </w:r>
          </w:p>
        </w:tc>
        <w:tc>
          <w:tcPr>
            <w:tcW w:type="dxa" w:w="436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Campo estimativo de encargo sobre a parcela convertida.</w:t>
            </w:r>
          </w:p>
        </w:tc>
      </w:tr>
      <w:tr>
        <w:trPr>
          <w:cantSplit/>
        </w:trPr>
        <w:tc>
          <w:tcPr>
            <w:tcW w:type="dxa" w:w="323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Imposto de importação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%</w:t>
            </w:r>
          </w:p>
        </w:tc>
        <w:tc>
          <w:tcPr>
            <w:tcW w:type="dxa" w:w="436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Alíquota informada para o regime aplicável.</w:t>
            </w:r>
          </w:p>
        </w:tc>
      </w:tr>
      <w:tr>
        <w:trPr>
          <w:cantSplit/>
        </w:trPr>
        <w:tc>
          <w:tcPr>
            <w:tcW w:type="dxa" w:w="323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Desconto do II</w:t>
            </w:r>
          </w:p>
        </w:tc>
        <w:tc>
          <w:tcPr>
            <w:tcW w:type="dxa" w:w="170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R$</w:t>
            </w:r>
          </w:p>
        </w:tc>
        <w:tc>
          <w:tcPr>
            <w:tcW w:type="dxa" w:w="436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Só quando efetivamente aplicável ao caso.</w:t>
            </w:r>
          </w:p>
        </w:tc>
      </w:tr>
      <w:tr>
        <w:trPr>
          <w:cantSplit/>
        </w:trPr>
        <w:tc>
          <w:tcPr>
            <w:tcW w:type="dxa" w:w="323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ICMS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%</w:t>
            </w:r>
          </w:p>
        </w:tc>
        <w:tc>
          <w:tcPr>
            <w:tcW w:type="dxa" w:w="436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Validar UF e eventual sistemática de cálculo.</w:t>
            </w:r>
          </w:p>
        </w:tc>
      </w:tr>
      <w:tr>
        <w:trPr>
          <w:cantSplit/>
        </w:trPr>
        <w:tc>
          <w:tcPr>
            <w:tcW w:type="dxa" w:w="323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Tarifas adicionais</w:t>
            </w:r>
          </w:p>
        </w:tc>
        <w:tc>
          <w:tcPr>
            <w:tcW w:type="dxa" w:w="170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R$</w:t>
            </w:r>
          </w:p>
        </w:tc>
        <w:tc>
          <w:tcPr>
            <w:tcW w:type="dxa" w:w="436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Despacho, armazenagem, serviços e outros itens.</w:t>
            </w:r>
          </w:p>
        </w:tc>
      </w:tr>
    </w:tbl>
    <w:p/>
    <w:p>
      <w:pPr>
        <w:pStyle w:val="Heading1"/>
      </w:pPr>
      <w:r>
        <w:t>3. Fórmulas e hipóteses declaradas</w:t>
      </w:r>
    </w:p>
    <w:p>
      <w:r>
        <w:t>Comissão = preço da moeda × comissão (%). Valor convertido = (preço + comissão + frete + seguro) × taxa de câmbio. Despesa financeira = valor convertido × encargo (%). II simulado = máximo(0; valor convertido × alíquota de II – desconto). ICMS simulado, quando se adota base incluindo o próprio ICMS, = (valor convertido + II) ÷ (1 – alíquota de ICMS) – (valor convertido + II). Total de caixa = valor convertido + despesa financeira + II + ICMS + tarifas. Essa estrutura constitui apenas hipótese simplificada; certas bases, descontos ou enquadramentos exigem tratamento diferente.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4F4"/>
          </w:tcPr>
          <w:p>
            <w:pPr>
              <w:spacing w:after="40"/>
            </w:pPr>
            <w:r/>
            <w:r>
              <w:rPr>
                <w:rFonts w:ascii="Noto Sans" w:hAnsi="Noto Sans"/>
                <w:b/>
                <w:color w:val="A36F40"/>
                <w:sz w:val="17"/>
              </w:rPr>
              <w:t xml:space="preserve">MUITO IMPORTANTE: </w:t>
            </w:r>
            <w:r>
              <w:rPr>
                <w:rFonts w:ascii="Noto Sans" w:hAnsi="Noto Sans"/>
                <w:b w:val="0"/>
                <w:color w:val="193648"/>
                <w:sz w:val="17"/>
              </w:rPr>
              <w:t>A legislação brasileira de remessas internacionais sofreu alterações em 2026. A planilha NÃO traz alíquotas pré-preenchidas nem afirma que o regime Remessa Conforme se aplica a determinada moeda antiga. Consulte a Receita Federal, a legislação do destino, o operador logístico e as exigências de patrimônio cultural antes de usar qualquer cenário.</w:t>
            </w:r>
          </w:p>
        </w:tc>
      </w:tr>
    </w:tbl>
    <w:p/>
    <w:p>
      <w:pPr>
        <w:pStyle w:val="Heading1"/>
      </w:pPr>
      <w:r>
        <w:t>4. Exemplo fictício para conferir a fórmula</w:t>
      </w:r>
    </w:p>
    <w:p>
      <w:r>
        <w:t>Uma moeda de 100 unidades estrangeiras, comissão de 10%, frete de 20, seguro zero, cotação de R$ 6 por unidade, II hipotético de 60%, desconto zero, ICMS hipotético de 18% e tarifa fixa de R$ 50 produziria: valor convertido de R$ 780, II de R$ 468, ICMS de aproximadamente R$ 273,95 e desembolso total estimado de R$ 1.571,95, sem encargo financeiro adicional. Os percentuais ilustram matemática, não recomendação tributária.</w:t>
      </w:r>
    </w:p>
    <w:p>
      <w:pPr>
        <w:pStyle w:val="Heading1"/>
      </w:pPr>
      <w:r>
        <w:t>5. Checklist documental anterior ao pagamento</w:t>
      </w:r>
    </w:p>
    <w:p>
      <w:pPr>
        <w:pStyle w:val="ListBullet"/>
        <w:ind w:left="340" w:hanging="142"/>
      </w:pPr>
      <w:r>
        <w:t>Confirme legitimidade da venda e o direito de exportar do país de origem.</w:t>
      </w:r>
    </w:p>
    <w:p>
      <w:pPr>
        <w:pStyle w:val="ListBullet"/>
        <w:ind w:left="340" w:hanging="142"/>
      </w:pPr>
      <w:r>
        <w:t>Solicite nota, descrição técnica, dimensões, fotografias e documentação de procedência.</w:t>
      </w:r>
    </w:p>
    <w:p>
      <w:pPr>
        <w:pStyle w:val="ListBullet"/>
        <w:ind w:left="340" w:hanging="142"/>
      </w:pPr>
      <w:r>
        <w:t>Verifique restrições relacionadas a bens culturais e normas de importação e exportação.</w:t>
      </w:r>
    </w:p>
    <w:p>
      <w:pPr>
        <w:pStyle w:val="ListBullet"/>
        <w:ind w:left="340" w:hanging="142"/>
      </w:pPr>
      <w:r>
        <w:t>Confirme transporte aceito, seguro e eventual necessidade de documentação especial.</w:t>
      </w:r>
    </w:p>
    <w:p>
      <w:pPr>
        <w:pStyle w:val="ListBullet"/>
        <w:ind w:left="340" w:hanging="142"/>
      </w:pPr>
      <w:r>
        <w:t>Compare o custo total com moedas equivalentes disponíveis no Brasil.</w:t>
      </w:r>
    </w:p>
    <w:p>
      <w:pPr>
        <w:pStyle w:val="ListBullet"/>
        <w:ind w:left="340" w:hanging="142"/>
      </w:pPr>
      <w:r>
        <w:t>Guarde comprovantes de câmbio, pagamento e tributos.</w:t>
      </w:r>
    </w:p>
    <w:p>
      <w:pPr>
        <w:pStyle w:val="Heading1"/>
      </w:pPr>
      <w:r>
        <w:t>6. Como comparar com moedas da TH</w:t>
      </w:r>
    </w:p>
    <w:p>
      <w:r>
        <w:t>Na aba Comparação, registre o preço total de uma peça vendida no Brasil e o custo da compra estrangeira. A diferença calculada ajuda a identificar se o frete, as comissões e os tributos podem modificar a vantagem aparente. A equivalência histórica e técnica entre exemplares deve ser examinada separadamente.</w:t>
      </w:r>
    </w:p>
    <w:p>
      <w:pPr>
        <w:pStyle w:val="Heading1"/>
      </w:pPr>
      <w:r>
        <w:t>Fontes de conferência e exemplos documentados</w:t>
      </w:r>
    </w:p>
    <w:p>
      <w:r>
        <w:t>As indicações abaixo foram usadas para controlar a terminologia e orientar a pesquisa. Referências eletrônicas podem ser atualizadas por suas instituições mantenedoras.</w:t>
      </w:r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Receita Federal, regras de tributação das remessas: </w:t>
      </w:r>
      <w:hyperlink r:id="rId11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Receita Federal, calculadora oficial: </w:t>
      </w:r>
      <w:hyperlink r:id="rId12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Programa Remessa Conforme e atualizações: </w:t>
      </w:r>
      <w:hyperlink r:id="rId13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pStyle w:val="Heading1"/>
      </w:pPr>
      <w:r>
        <w:t>Continue seus estudos na TH Numismática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4F4"/>
          </w:tcPr>
          <w:p>
            <w:pPr>
              <w:spacing w:after="40"/>
            </w:pPr>
            <w:r/>
            <w:r>
              <w:rPr>
                <w:rFonts w:ascii="Noto Sans" w:hAnsi="Noto Sans"/>
                <w:b/>
                <w:color w:val="A36F40"/>
                <w:sz w:val="17"/>
              </w:rPr>
              <w:t xml:space="preserve">FERRAMENTA DISPONIBILIZADA PELA TH NUMISMÁTICA: </w:t>
            </w:r>
            <w:r>
              <w:rPr>
                <w:rFonts w:ascii="Noto Sans" w:hAnsi="Noto Sans"/>
                <w:b w:val="0"/>
                <w:color w:val="193648"/>
                <w:sz w:val="17"/>
              </w:rPr>
              <w:t>Antes de importar, compare a aquisição com os exemplares comercializados pela TH Numismática. A loja pode representar uma alternativa nacional a considerar, de acordo com a peça e as condições. Consulte os artigos, o catálogo de moedas e os exemplares já documentados no acervo da TH Numismática. Este arquivo foi extraído do site thnumismatica.com.br. Compartilhe gratuitamente mantendo a identificação de origem.</w:t>
            </w:r>
          </w:p>
        </w:tc>
      </w:tr>
    </w:tbl>
    <w:p/>
    <w:p>
      <w:pPr>
        <w:jc w:val="center"/>
      </w:pPr>
      <w:hyperlink r:id="rId14">
        <w:r>
          <w:rPr>
            <w:color w:val="266C76"/>
            <w:u w:val="single"/>
            <w:rFonts w:ascii="Noto Sans" w:hAnsi="Noto Sans"/>
          </w:rPr>
          <w:t>Conheça o site TH Numismática: thnumismatica.com.br</w:t>
        </w:r>
      </w:hyperlink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20000" cy="72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1906" w:h="16838"/>
      <w:pgMar w:top="992" w:right="1191" w:bottom="879" w:left="1191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/>
        <w:b w:val="0"/>
        <w:color w:val="526875"/>
        <w:sz w:val="14"/>
      </w:rPr>
      <w:t xml:space="preserve">Arquivo extraído do site thnumismatica.com.br   •   Material 17   •   Versão 1.0   •   2026   |   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" w:hAnsi="Noto Sans"/>
        <w:b/>
        <w:color w:val="266C76"/>
        <w:sz w:val="14"/>
      </w:rPr>
      <w:t>TH NUMISMÁTICA   |   BIBLIOTECA DO COLECIONADOR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4" w:lineRule="auto"/>
    </w:pPr>
    <w:rPr>
      <w:rFonts w:ascii="Noto Sans" w:hAnsi="Noto Sans"/>
      <w:color w:val="19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Noto Sans" w:hAnsi="Noto Sans"/>
      <w:b/>
      <w:bCs/>
      <w:color w:val="193648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Noto Sans" w:hAnsi="Noto Sans"/>
      <w:b/>
      <w:bCs/>
      <w:color w:val="266C76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Noto Sans" w:hAnsi="Noto Sans"/>
      <w:b/>
      <w:color w:val="19364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gov.br/receitafederal/pt-br/assuntos/aduana-e-comercio-exterior/manuais/remessas-postal-e-expressa/topicos/tributacao" TargetMode="External"/><Relationship Id="rId12" Type="http://schemas.openxmlformats.org/officeDocument/2006/relationships/hyperlink" Target="https://www.gov.br/receitafederal/pt-br/assuntos/aduana-e-comercio-exterior/manuais/remessas-postal-e-expressa/calculadora-de-impostos-portal-aduana-e-comercio-exterior" TargetMode="External"/><Relationship Id="rId13" Type="http://schemas.openxmlformats.org/officeDocument/2006/relationships/hyperlink" Target="https://www.gov.br/receitafederal/pt-br/assuntos/aduana-e-comercio-exterior/manuais/remessas-postal-e-expressa/regras-futuras" TargetMode="External"/><Relationship Id="rId14" Type="http://schemas.openxmlformats.org/officeDocument/2006/relationships/hyperlink" Target="https://thnumismatica.com.br" TargetMode="External"/><Relationship Id="rId15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