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  <w:jc w:val="center"/>
      </w:pPr>
      <w:r>
        <w:rPr>
          <w:b/>
          <w:color w:val="AA7124"/>
          <w:sz w:val="26"/>
        </w:rPr>
        <w:t>TH  NUMISMÁTICA</w:t>
      </w:r>
    </w:p>
    <w:p>
      <w:pPr>
        <w:pStyle w:val="Title"/>
        <w:jc w:val="center"/>
      </w:pPr>
      <w:r>
        <w:t>CATÁLOGO PROFISSIONAL DE MOEDAS</w:t>
      </w:r>
    </w:p>
    <w:p>
      <w:pPr>
        <w:jc w:val="center"/>
      </w:pPr>
      <w:r>
        <w:rPr>
          <w:color w:val="56636E"/>
          <w:sz w:val="24"/>
        </w:rPr>
        <w:t>Manual de utilização da planilha TH Numismática</w:t>
      </w:r>
    </w:p>
    <w:p>
      <w:pPr>
        <w:spacing w:before="200"/>
        <w:jc w:val="center"/>
      </w:pPr>
      <w:r>
        <w:rPr>
          <w:color w:val="AA7124"/>
          <w:sz w:val="18"/>
        </w:rPr>
        <w:t>Material educativo gratuito  •  Outubro de 2026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72000" cy="9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2737"/>
          <w:sz w:val="18"/>
        </w:rPr>
        <w:t>EXTRAÍDO DO SITE  www.thnumismatica.com.br</w:t>
      </w:r>
    </w:p>
    <w:p>
      <w:pPr>
        <w:jc w:val="center"/>
      </w:pPr>
      <w:r>
        <w:rPr>
          <w:i/>
          <w:sz w:val="18"/>
        </w:rPr>
        <w:t>Estude, organize e conheça moedas antigas no catálogo da TH.</w:t>
      </w:r>
    </w:p>
    <w:p>
      <w:r>
        <w:br w:type="page"/>
      </w:r>
    </w:p>
    <w:p>
      <w:pPr>
        <w:pStyle w:val="Heading1"/>
      </w:pPr>
      <w:r>
        <w:t>Finalidade e princípios</w:t>
      </w:r>
    </w:p>
    <w:p>
      <w:r>
        <w:t>A planilha foi estruturada para documentar um acervo pessoal de moedas antigas e acompanhar objetivos de coleção, procedência, imagens e movimentações. Ela não é laudo de autenticidade, avaliação patrimonial, certificado de procedência ou software de contabilidade.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6F0E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Regra essencial: não preencha por presunção. Use campos como “Atribuição provável”, “Não determinada” e observações quando faltar evidência. Em numismática, incerteza registrada é mais valiosa do que precisão fictícia.</w:t>
            </w:r>
          </w:p>
        </w:tc>
      </w:tr>
    </w:tbl>
    <w:p/>
    <w:p>
      <w:pPr>
        <w:pStyle w:val="Heading1"/>
      </w:pPr>
      <w:r>
        <w:t>Estrutura das abas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c>
          <w:tcPr>
            <w:tcW w:type="dxa" w:w="2268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Aba</w:t>
            </w:r>
          </w:p>
        </w:tc>
        <w:tc>
          <w:tcPr>
            <w:tcW w:type="dxa" w:w="6860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Função</w:t>
            </w:r>
          </w:p>
        </w:tc>
      </w:tr>
      <w:tr>
        <w:tc>
          <w:tcPr>
            <w:tcW w:type="dxa" w:w="226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INÍCIO</w:t>
            </w:r>
          </w:p>
        </w:tc>
        <w:tc>
          <w:tcPr>
            <w:tcW w:type="dxa" w:w="6860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Manual resumido, orientações e links para a TH.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PAINEL</w:t>
            </w:r>
          </w:p>
        </w:tc>
        <w:tc>
          <w:tcPr>
            <w:tcW w:type="dxa" w:w="6860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Indicadores automáticos e contagem de exemplares por civilização.</w:t>
            </w:r>
          </w:p>
        </w:tc>
      </w:tr>
      <w:tr>
        <w:tc>
          <w:tcPr>
            <w:tcW w:type="dxa" w:w="226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ACERVO</w:t>
            </w:r>
          </w:p>
        </w:tc>
        <w:tc>
          <w:tcPr>
            <w:tcW w:type="dxa" w:w="6860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Cadastro individualizado: 400 registros, filtros, fórmulas e listas.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DESEJADAS</w:t>
            </w:r>
          </w:p>
        </w:tc>
        <w:tc>
          <w:tcPr>
            <w:tcW w:type="dxa" w:w="6860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Lista de moedas que você gostaria de estudar ou adquirir.</w:t>
            </w:r>
          </w:p>
        </w:tc>
      </w:tr>
      <w:tr>
        <w:tc>
          <w:tcPr>
            <w:tcW w:type="dxa" w:w="226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MOVIMENTAÇÕES</w:t>
            </w:r>
          </w:p>
        </w:tc>
        <w:tc>
          <w:tcPr>
            <w:tcW w:type="dxa" w:w="6860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Histórico independente de compras, transferências, vendas e outros eventos.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PROCEDÊNCIA</w:t>
            </w:r>
          </w:p>
        </w:tc>
        <w:tc>
          <w:tcPr>
            <w:tcW w:type="dxa" w:w="6860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Documentos e cadeia de proveniência declarada ou comprovada.</w:t>
            </w:r>
          </w:p>
        </w:tc>
      </w:tr>
      <w:tr>
        <w:tc>
          <w:tcPr>
            <w:tcW w:type="dxa" w:w="226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IMAGENS</w:t>
            </w:r>
          </w:p>
        </w:tc>
        <w:tc>
          <w:tcPr>
            <w:tcW w:type="dxa" w:w="6860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Links de fotografias, direitos de uso e arquivos de referência.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EXEMPLO</w:t>
            </w:r>
          </w:p>
        </w:tc>
        <w:tc>
          <w:tcPr>
            <w:tcW w:type="dxa" w:w="6860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Um registro exclusivamente fictício e explicitamente separado do acervo real.</w:t>
            </w:r>
          </w:p>
        </w:tc>
      </w:tr>
      <w:tr>
        <w:tc>
          <w:tcPr>
            <w:tcW w:type="dxa" w:w="226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LISTAS</w:t>
            </w:r>
          </w:p>
        </w:tc>
        <w:tc>
          <w:tcPr>
            <w:tcW w:type="dxa" w:w="6860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Categorias utilizadas nas validações dos campos.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FONTES</w:t>
            </w:r>
          </w:p>
        </w:tc>
        <w:tc>
          <w:tcPr>
            <w:tcW w:type="dxa" w:w="6860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Catálogos acadêmicos e links para pesquisa.</w:t>
            </w:r>
          </w:p>
        </w:tc>
      </w:tr>
      <w:tr>
        <w:tc>
          <w:tcPr>
            <w:tcW w:type="dxa" w:w="2268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BACKUP</w:t>
            </w:r>
          </w:p>
        </w:tc>
        <w:tc>
          <w:tcPr>
            <w:tcW w:type="dxa" w:w="6860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Rotina de cópias de segurança e exportação.</w:t>
            </w:r>
          </w:p>
        </w:tc>
      </w:tr>
    </w:tbl>
    <w:p>
      <w:pPr>
        <w:spacing w:after="0"/>
      </w:pPr>
    </w:p>
    <w:p>
      <w:pPr>
        <w:pStyle w:val="Heading1"/>
      </w:pPr>
      <w:r>
        <w:t>Cadastro correto em dez etapas</w:t>
      </w:r>
    </w:p>
    <w:p>
      <w:r>
        <w:t>1. Crie um código individual estável. Nunca reutilize um código após vender ou transferir uma moeda.</w:t>
      </w:r>
    </w:p>
    <w:p>
      <w:r>
        <w:t>2. Registre status e civilização. A situação “Em identificação” não substitui o grau de confiança.</w:t>
      </w:r>
    </w:p>
    <w:p>
      <w:r>
        <w:t>3. Preencha autoridade, denominação, metal, período e ceca apenas quando houver base documental.</w:t>
      </w:r>
    </w:p>
    <w:p>
      <w:r>
        <w:t>4. Use anos negativos para datas anteriores à era comum. Exemplo: -44 = 44 a.C.; 315 = 315 d.C. Não use ano zero em cronologias históricas.</w:t>
      </w:r>
    </w:p>
    <w:p>
      <w:r>
        <w:t>5. Meça massa em gramas, diâmetro em milímetros e eixo em horas, respeitando o grau de precisão do instrumento.</w:t>
      </w:r>
    </w:p>
    <w:p>
      <w:r>
        <w:t>6. Transcreva as legendas observadas; use descrição separada para interpretar retrato, divindade e símbolos.</w:t>
      </w:r>
    </w:p>
    <w:p>
      <w:r>
        <w:t>7. Informe referência e URL da fonte. Não confunda identificação de tipo com autenticidade do exemplar.</w:t>
      </w:r>
    </w:p>
    <w:p>
      <w:r>
        <w:t>8. Documente cadeia de procedência e notas fiscais ou recibos, quando existirem, em abas complementares.</w:t>
      </w:r>
    </w:p>
    <w:p>
      <w:r>
        <w:t>9. Registre custos em reais, separando valor de aquisição e despesas adicionais. Isso não determina valor de mercado.</w:t>
      </w:r>
    </w:p>
    <w:p>
      <w:r>
        <w:t>10. Use links para fotografias confiáveis; preserve arquivos originais e faça backup em local independente.</w:t>
      </w:r>
    </w:p>
    <w:p>
      <w:pPr>
        <w:pStyle w:val="Heading1"/>
      </w:pPr>
      <w:r>
        <w:t>Como funcionam as fórmulas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c>
          <w:tcPr>
            <w:tcW w:type="dxa" w:w="2551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Campo calculado</w:t>
            </w:r>
          </w:p>
        </w:tc>
        <w:tc>
          <w:tcPr>
            <w:tcW w:type="dxa" w:w="6576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Regra aplicada</w:t>
            </w:r>
          </w:p>
        </w:tc>
      </w:tr>
      <w:tr>
        <w:tc>
          <w:tcPr>
            <w:tcW w:type="dxa" w:w="255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Custo total</w:t>
            </w:r>
          </w:p>
        </w:tc>
        <w:tc>
          <w:tcPr>
            <w:tcW w:type="dxa" w:w="6576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Preço de aquisição + despesas adicionais, quando preenchidos.</w:t>
            </w:r>
          </w:p>
        </w:tc>
      </w:tr>
      <w:tr>
        <w:tc>
          <w:tcPr>
            <w:tcW w:type="dxa" w:w="2551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Consistência</w:t>
            </w:r>
          </w:p>
        </w:tc>
        <w:tc>
          <w:tcPr>
            <w:tcW w:type="dxa" w:w="6576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Alerta não conclusivo para medidas não positivas, fim de período anterior ao início e valores incompatíveis.</w:t>
            </w:r>
          </w:p>
        </w:tc>
      </w:tr>
      <w:tr>
        <w:tc>
          <w:tcPr>
            <w:tcW w:type="dxa" w:w="255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Preenchimento</w:t>
            </w:r>
          </w:p>
        </w:tc>
        <w:tc>
          <w:tcPr>
            <w:tcW w:type="dxa" w:w="6576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Proporção de campos nucleares preenchidos, sem servir como nota científica de qualidade.</w:t>
            </w:r>
          </w:p>
        </w:tc>
      </w:tr>
      <w:tr>
        <w:tc>
          <w:tcPr>
            <w:tcW w:type="dxa" w:w="2551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Resultado de saída</w:t>
            </w:r>
          </w:p>
        </w:tc>
        <w:tc>
          <w:tcPr>
            <w:tcW w:type="dxa" w:w="6576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Receita informada menos custo registrado, sem impostos, inflação, comissões adicionais ou tratamento fiscal.</w:t>
            </w:r>
          </w:p>
        </w:tc>
      </w:tr>
      <w:tr>
        <w:tc>
          <w:tcPr>
            <w:tcW w:type="dxa" w:w="255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Painel</w:t>
            </w:r>
          </w:p>
        </w:tc>
        <w:tc>
          <w:tcPr>
            <w:tcW w:type="dxa" w:w="6576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Contagem e somatórios associados a dados de entrada. Não é avaliação do acervo.</w:t>
            </w:r>
          </w:p>
        </w:tc>
      </w:tr>
    </w:tbl>
    <w:p>
      <w:pPr>
        <w:spacing w:after="0"/>
      </w:pPr>
    </w:p>
    <w:p>
      <w:pPr>
        <w:pStyle w:val="Heading1"/>
      </w:pPr>
      <w:r>
        <w:t>Limites do arquivo e boas práticas</w:t>
      </w:r>
    </w:p>
    <w:p>
      <w:r>
        <w:t>A versão possui 400 linhas de cadastro de moedas, 160 linhas de desejos, 250 movimentações, 250 vínculos de procedência e 300 referências de imagens. Filtros permitem localizar registros. Para coleções maiores, amplie as áreas mantendo fórmulas e validações ou crie cópia anual. A planilha não armazena fotografias binárias: registra seus endereços ou caminhos.</w:t>
      </w:r>
    </w:p>
    <w:p>
      <w:r>
        <w:t>Recomenda-se salvar cópia pessoal em pasta controlada, manter histórico de versões, evitar distribuição pública de dados sensíveis e testar a restauração periódica das cópias de segurança.</w:t>
      </w:r>
    </w:p>
    <w:p>
      <w:pPr>
        <w:pStyle w:val="Heading1"/>
      </w:pPr>
      <w:r>
        <w:t>Exemplo fictício de preenchimento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58"/>
        <w:gridCol w:w="4958"/>
      </w:tblGrid>
      <w:tr>
        <w:tc>
          <w:tcPr>
            <w:tcW w:type="dxa" w:w="2381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Campo</w:t>
            </w:r>
          </w:p>
        </w:tc>
        <w:tc>
          <w:tcPr>
            <w:tcW w:type="dxa" w:w="6746"/>
            <w:vAlign w:val="center"/>
            <w:shd w:fill="172F41"/>
          </w:tcPr>
          <w:p>
            <w:pPr>
              <w:spacing w:after="20"/>
            </w:pPr>
            <w:r/>
            <w:r>
              <w:rPr>
                <w:b/>
                <w:color w:val="FFFFFF"/>
                <w:sz w:val="16"/>
              </w:rPr>
              <w:t>Valor meramente ilustrativo</w:t>
            </w:r>
          </w:p>
        </w:tc>
      </w:tr>
      <w:tr>
        <w:tc>
          <w:tcPr>
            <w:tcW w:type="dxa" w:w="238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Código</w:t>
            </w:r>
          </w:p>
        </w:tc>
        <w:tc>
          <w:tcPr>
            <w:tcW w:type="dxa" w:w="6746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EX-0001 (somente na aba EXEMPLO)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Civilização</w:t>
            </w:r>
          </w:p>
        </w:tc>
        <w:tc>
          <w:tcPr>
            <w:tcW w:type="dxa" w:w="6746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Romana imperial</w:t>
            </w:r>
          </w:p>
        </w:tc>
      </w:tr>
      <w:tr>
        <w:tc>
          <w:tcPr>
            <w:tcW w:type="dxa" w:w="238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Autoridade</w:t>
            </w:r>
          </w:p>
        </w:tc>
        <w:tc>
          <w:tcPr>
            <w:tcW w:type="dxa" w:w="6746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Constantino I (fictício no exemplo)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Período</w:t>
            </w:r>
          </w:p>
        </w:tc>
        <w:tc>
          <w:tcPr>
            <w:tcW w:type="dxa" w:w="6746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315 d.C.</w:t>
            </w:r>
          </w:p>
        </w:tc>
      </w:tr>
      <w:tr>
        <w:tc>
          <w:tcPr>
            <w:tcW w:type="dxa" w:w="238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Referência</w:t>
            </w:r>
          </w:p>
        </w:tc>
        <w:tc>
          <w:tcPr>
            <w:tcW w:type="dxa" w:w="6746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Não atribuída; verificar em fonte acadêmica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Peso / diâmetro</w:t>
            </w:r>
          </w:p>
        </w:tc>
        <w:tc>
          <w:tcPr>
            <w:tcW w:type="dxa" w:w="6746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3,10 g / 19 mm (dados inventados para demonstração)</w:t>
            </w:r>
          </w:p>
        </w:tc>
      </w:tr>
      <w:tr>
        <w:tc>
          <w:tcPr>
            <w:tcW w:type="dxa" w:w="2381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Preço / despesas</w:t>
            </w:r>
          </w:p>
        </w:tc>
        <w:tc>
          <w:tcPr>
            <w:tcW w:type="dxa" w:w="6746"/>
            <w:vAlign w:val="center"/>
            <w:shd w:fill="F4F7F8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R$ 100,00 / R$ 15,00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Custo total</w:t>
            </w:r>
          </w:p>
        </w:tc>
        <w:tc>
          <w:tcPr>
            <w:tcW w:type="dxa" w:w="6746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6"/>
              </w:rPr>
              <w:t>R$ 115,00, calculado por fórmula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6F0E5"/>
            <w:vAlign w:val="center"/>
          </w:tcPr>
          <w:p>
            <w:pPr>
              <w:spacing w:after="20"/>
            </w:pPr>
            <w:r/>
            <w:r>
              <w:rPr>
                <w:b w:val="0"/>
                <w:color w:val="162737"/>
                <w:sz w:val="18"/>
              </w:rPr>
              <w:t>O exemplo não corresponde a uma moeda específica da TH nem a uma atribuição catalográfica: é puramente demonstrativo. Para estudar peças reais, consulte fichas e documentação individuais.</w:t>
            </w:r>
          </w:p>
        </w:tc>
      </w:tr>
    </w:tbl>
    <w:p/>
    <w:p>
      <w:pPr>
        <w:pStyle w:val="Heading1"/>
      </w:pPr>
      <w:r>
        <w:t>Fontes recomendadas</w:t>
      </w:r>
    </w:p>
    <w:p>
      <w:r>
        <w:t xml:space="preserve">Online Coins of the Roman Empire: </w:t>
      </w:r>
      <w:hyperlink r:id="rId12">
        <w:r>
          <w:rPr>
            <w:color w:val="A97124"/>
            <w:u w:val="single"/>
          </w:rPr>
          <w:t>https://numismatics.org/ocre/</w:t>
        </w:r>
      </w:hyperlink>
    </w:p>
    <w:p>
      <w:r>
        <w:t xml:space="preserve">Roman Provincial Coinage Online: </w:t>
      </w:r>
      <w:hyperlink r:id="rId13">
        <w:r>
          <w:rPr>
            <w:color w:val="A97124"/>
            <w:u w:val="single"/>
          </w:rPr>
          <w:t>https://rpc.ashmus.ox.ac.uk/</w:t>
        </w:r>
      </w:hyperlink>
    </w:p>
    <w:p>
      <w:r>
        <w:t xml:space="preserve">Coinage of the Roman Republic Online: </w:t>
      </w:r>
      <w:hyperlink r:id="rId14">
        <w:r>
          <w:rPr>
            <w:color w:val="A97124"/>
            <w:u w:val="single"/>
          </w:rPr>
          <w:t>https://numismatics.org/crro/</w:t>
        </w:r>
      </w:hyperlink>
    </w:p>
    <w:p>
      <w:r>
        <w:t xml:space="preserve">Ptolemaic Coins Online: </w:t>
      </w:r>
      <w:hyperlink r:id="rId15">
        <w:r>
          <w:rPr>
            <w:color w:val="A97124"/>
            <w:u w:val="single"/>
          </w:rPr>
          <w:t>https://numismatics.org/pco/</w:t>
        </w:r>
      </w:hyperlink>
    </w:p>
    <w:p>
      <w:r>
        <w:t xml:space="preserve">Corpus Nummorum: </w:t>
      </w:r>
      <w:hyperlink r:id="rId16">
        <w:r>
          <w:rPr>
            <w:color w:val="A97124"/>
            <w:u w:val="single"/>
          </w:rPr>
          <w:t>https://www.corpus-nummorum.eu/</w:t>
        </w:r>
      </w:hyperlink>
    </w:p>
    <w:p>
      <w:r>
        <w:t xml:space="preserve">Recursos da American Numismatic Society: </w:t>
      </w:r>
      <w:hyperlink r:id="rId17">
        <w:r>
          <w:rPr>
            <w:color w:val="A97124"/>
            <w:u w:val="single"/>
          </w:rPr>
          <w:t>https://numismatics.org/resources/</w:t>
        </w:r>
      </w:hyperlink>
    </w:p>
    <w:p>
      <w:pPr>
        <w:pStyle w:val="Heading2"/>
      </w:pPr>
      <w:r>
        <w:t>Convite TH Numismática</w:t>
      </w:r>
    </w:p>
    <w:p>
      <w:r>
        <w:t>Após organizar o acervo, identifique lacunas por civilização, imperador ou tema. Explore moedas antigas, artigos e o acervo digital em www.thnumismatica.com.br. Materiais gratuitos e fichas de referência não substituem a documentação específica de cada aquisição.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19" w:right="1162" w:bottom="104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36E"/>
        <w:sz w:val="15"/>
      </w:rPr>
      <w:t xml:space="preserve">Material gratuito extraído do site thnumismatica.com.br   •   Conheça o catálogo e o acervo digital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AA7124"/>
        <w:sz w:val="16"/>
      </w:rPr>
      <w:t>TH NUMISMÁTICA  | 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1627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27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AA712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627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6273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ptos" w:hAnsi="Apto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numismatics.org/ocre/" TargetMode="External"/><Relationship Id="rId13" Type="http://schemas.openxmlformats.org/officeDocument/2006/relationships/hyperlink" Target="https://rpc.ashmus.ox.ac.uk/" TargetMode="External"/><Relationship Id="rId14" Type="http://schemas.openxmlformats.org/officeDocument/2006/relationships/hyperlink" Target="https://numismatics.org/crro/" TargetMode="External"/><Relationship Id="rId15" Type="http://schemas.openxmlformats.org/officeDocument/2006/relationships/hyperlink" Target="https://numismatics.org/pco/" TargetMode="External"/><Relationship Id="rId16" Type="http://schemas.openxmlformats.org/officeDocument/2006/relationships/hyperlink" Target="https://www.corpus-nummorum.eu/" TargetMode="External"/><Relationship Id="rId17" Type="http://schemas.openxmlformats.org/officeDocument/2006/relationships/hyperlink" Target="https://numismatics.org/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 Manual Planilha Catalogacao TH.docx</dc:title>
  <dc:subject>Material educativo gratuito extraído do site thnumismatica.com.br</dc:subject>
  <dc:creator>TH Numismática | Biblioteca Gratuita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